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National</w:t>
      </w:r>
      <w:r>
        <w:t xml:space="preserve"> </w:t>
      </w:r>
      <w:r>
        <w:t xml:space="preserve">Custom</w:t>
      </w:r>
      <w:r>
        <w:t xml:space="preserve"> </w:t>
      </w:r>
      <w:r>
        <w:t xml:space="preserve">Compounding</w:t>
      </w:r>
      <w:r>
        <w:t xml:space="preserve"> </w:t>
      </w:r>
      <w:r>
        <w:t xml:space="preserve">—</w:t>
      </w:r>
      <w:r>
        <w:t xml:space="preserve"> </w:t>
      </w:r>
      <w:r>
        <w:t xml:space="preserve">Quality</w:t>
      </w:r>
      <w:r>
        <w:t xml:space="preserve"> </w:t>
      </w:r>
      <w:r>
        <w:t xml:space="preserve">Assurance</w:t>
      </w:r>
      <w:r>
        <w:t xml:space="preserve"> </w:t>
      </w:r>
      <w:r>
        <w:t xml:space="preserve">Plan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p>
      <w:pPr>
        <w:pStyle w:val="Heading1"/>
      </w:pPr>
      <w:bookmarkStart w:id="20" w:name="national-custom-compounding"/>
      <w:r>
        <w:t xml:space="preserve">NATIONAL CUSTOM COMPOUNDING</w:t>
      </w:r>
      <w:bookmarkEnd w:id="20"/>
    </w:p>
    <w:p>
      <w:pPr>
        <w:pStyle w:val="Heading2"/>
      </w:pPr>
      <w:bookmarkStart w:id="21" w:name="quality-assurance-plan"/>
      <w:r>
        <w:t xml:space="preserve">QUALITY ASSURANCE PLAN</w:t>
      </w:r>
      <w:bookmarkEnd w:id="21"/>
    </w:p>
    <w:p>
      <w:pPr>
        <w:pStyle w:val="FirstParagraph"/>
      </w:pPr>
      <w:r>
        <w:rPr>
          <w:b/>
        </w:rPr>
        <w:t xml:space="preserve">Version 5.0</w:t>
      </w:r>
      <w:r>
        <w:t xml:space="preserve"> </w:t>
      </w:r>
      <w:r>
        <w:t xml:space="preserve">— Revised June 2026</w:t>
      </w:r>
    </w:p>
    <w:p>
      <w:pPr>
        <w:pStyle w:val="BodyText"/>
      </w:pPr>
      <w:r>
        <w:t xml:space="preserve">© The Trustee for the Carrara Pharmacy Trust &amp; The Trustee for the Gooding Drive Pharmacy Trust T/A National Custom Compounding · ABN 17 971 220 310</w:t>
      </w:r>
    </w:p>
    <w:p>
      <w:r>
        <w:pict>
          <v:rect style="width:0;height:1.5pt" o:hralign="center" o:hrstd="t" o:hr="t"/>
        </w:pict>
      </w:r>
    </w:p>
    <w:p>
      <w:pPr>
        <w:pStyle w:val="FirstParagraph"/>
      </w:pPr>
      <w:r>
        <w:rPr>
          <w:b/>
        </w:rPr>
        <w:t xml:space="preserve">Document control</w:t>
      </w:r>
    </w:p>
    <w:tbl>
      <w:tblPr>
        <w:tblStyle w:val="Table"/>
        <w:tblW w:type="pct" w:w="5000.0"/>
        <w:tblLook w:firstRow="0"/>
      </w:tblPr>
      <w:tblGrid>
        <w:gridCol w:w="3960"/>
        <w:gridCol w:w="3960"/>
      </w:tblGrid>
      <w:tr>
        <w:tc>
          <w:p>
            <w:pPr>
              <w:pStyle w:val="Compact"/>
              <w:jc w:val="left"/>
            </w:pPr>
            <w:r>
              <w:t xml:space="preserve">Document</w:t>
            </w:r>
          </w:p>
        </w:tc>
        <w:tc>
          <w:p>
            <w:pPr>
              <w:pStyle w:val="Compact"/>
              <w:jc w:val="left"/>
            </w:pPr>
            <w:r>
              <w:t xml:space="preserve">NCC Quality Assurance Plan</w:t>
            </w:r>
          </w:p>
        </w:tc>
      </w:tr>
      <w:tr>
        <w:tc>
          <w:p>
            <w:pPr>
              <w:pStyle w:val="Compact"/>
              <w:jc w:val="left"/>
            </w:pPr>
            <w:r>
              <w:t xml:space="preserve">Version</w:t>
            </w:r>
          </w:p>
        </w:tc>
        <w:tc>
          <w:p>
            <w:pPr>
              <w:pStyle w:val="Compact"/>
              <w:jc w:val="left"/>
            </w:pPr>
            <w:r>
              <w:t xml:space="preserve">5.0</w:t>
            </w:r>
          </w:p>
        </w:tc>
      </w:tr>
      <w:tr>
        <w:tc>
          <w:p>
            <w:pPr>
              <w:pStyle w:val="Compact"/>
              <w:jc w:val="left"/>
            </w:pPr>
            <w:r>
              <w:t xml:space="preserve">Supersedes</w:t>
            </w:r>
          </w:p>
        </w:tc>
        <w:tc>
          <w:p>
            <w:pPr>
              <w:pStyle w:val="Compact"/>
              <w:jc w:val="left"/>
            </w:pPr>
            <w:r>
              <w:t xml:space="preserve">Version 4.0 (August 2022)</w:t>
            </w:r>
          </w:p>
        </w:tc>
      </w:tr>
      <w:tr>
        <w:tc>
          <w:p>
            <w:pPr>
              <w:pStyle w:val="Compact"/>
              <w:jc w:val="left"/>
            </w:pPr>
            <w:r>
              <w:t xml:space="preserve">Issued</w:t>
            </w:r>
          </w:p>
        </w:tc>
        <w:tc>
          <w:p>
            <w:pPr>
              <w:pStyle w:val="Compact"/>
              <w:jc w:val="left"/>
            </w:pPr>
            <w:r>
              <w:t xml:space="preserve">June 2026</w:t>
            </w:r>
          </w:p>
        </w:tc>
      </w:tr>
      <w:tr>
        <w:tc>
          <w:p>
            <w:pPr>
              <w:pStyle w:val="Compact"/>
              <w:jc w:val="left"/>
            </w:pPr>
            <w:r>
              <w:t xml:space="preserve">Prepared by</w:t>
            </w:r>
          </w:p>
        </w:tc>
        <w:tc>
          <w:p>
            <w:pPr>
              <w:pStyle w:val="Compact"/>
              <w:jc w:val="left"/>
            </w:pPr>
            <w:r>
              <w:t xml:space="preserve">National Custom Compounding — Managing Director</w:t>
            </w:r>
          </w:p>
        </w:tc>
      </w:tr>
      <w:tr>
        <w:tc>
          <w:p>
            <w:pPr>
              <w:pStyle w:val="Compact"/>
              <w:jc w:val="left"/>
            </w:pPr>
            <w:r>
              <w:t xml:space="preserve">Approved by</w:t>
            </w:r>
          </w:p>
        </w:tc>
        <w:tc>
          <w:p>
            <w:pPr>
              <w:pStyle w:val="Compact"/>
              <w:jc w:val="left"/>
            </w:pPr>
            <w:r>
              <w:t xml:space="preserve">Quality Management Committee</w:t>
            </w:r>
          </w:p>
        </w:tc>
      </w:tr>
      <w:tr>
        <w:tc>
          <w:p>
            <w:pPr>
              <w:pStyle w:val="Compact"/>
              <w:jc w:val="left"/>
            </w:pPr>
            <w:r>
              <w:t xml:space="preserve">Review</w:t>
            </w:r>
          </w:p>
        </w:tc>
        <w:tc>
          <w:p>
            <w:pPr>
              <w:pStyle w:val="Compact"/>
              <w:jc w:val="left"/>
            </w:pPr>
            <w:r>
              <w:t xml:space="preserve">Annually, or on a material change to standards or operations</w:t>
            </w:r>
          </w:p>
        </w:tc>
      </w:tr>
      <w:tr>
        <w:tc>
          <w:p>
            <w:pPr>
              <w:pStyle w:val="Compact"/>
              <w:jc w:val="left"/>
            </w:pPr>
            <w:r>
              <w:t xml:space="preserve">Relationship to QMS</w:t>
            </w:r>
          </w:p>
        </w:tc>
        <w:tc>
          <w:p>
            <w:pPr>
              <w:pStyle w:val="Compact"/>
              <w:jc w:val="left"/>
            </w:pPr>
            <w:r>
              <w:t xml:space="preserve">This Plan is the apex quality document. It summarises NCC’s quality framework and points down into NCC’s controlled Quality Management System (QMS) for the operative SOPs, records and evidence.</w:t>
            </w:r>
          </w:p>
        </w:tc>
      </w:tr>
    </w:tbl>
    <w:p>
      <w:pPr>
        <w:pStyle w:val="BodyText"/>
      </w:pPr>
      <w:r>
        <w:rPr>
          <w:b/>
        </w:rPr>
        <w:t xml:space="preserve">Summary of changes in Version 5.0</w:t>
      </w:r>
    </w:p>
    <w:p>
      <w:pPr>
        <w:numPr>
          <w:ilvl w:val="0"/>
          <w:numId w:val="1001"/>
        </w:numPr>
        <w:pStyle w:val="Compact"/>
      </w:pPr>
      <w:r>
        <w:t xml:space="preserve">Updated all standards and regulatory references to current editions (QSPP / AS 85000:2024; PBA</w:t>
      </w:r>
      <w:r>
        <w:t xml:space="preserve"> </w:t>
      </w:r>
      <w:r>
        <w:rPr>
          <w:i/>
        </w:rPr>
        <w:t xml:space="preserve">Guidelines on compounding of medicines</w:t>
      </w:r>
      <w:r>
        <w:t xml:space="preserve">; current PSA Professional Practice Standards; ISO 14644 and AS 4273 added for cleanroom classification and isolators).</w:t>
      </w:r>
    </w:p>
    <w:p>
      <w:pPr>
        <w:numPr>
          <w:ilvl w:val="0"/>
          <w:numId w:val="1001"/>
        </w:numPr>
        <w:pStyle w:val="Compact"/>
      </w:pPr>
      <w:r>
        <w:t xml:space="preserve">Removed superseded and out-of-date references (AS/NZS 85000:2011, AS 85000:2017, the named bi-annual assessor, US-specific regulatory bodies).</w:t>
      </w:r>
    </w:p>
    <w:p>
      <w:pPr>
        <w:numPr>
          <w:ilvl w:val="0"/>
          <w:numId w:val="1001"/>
        </w:numPr>
        <w:pStyle w:val="Compact"/>
      </w:pPr>
      <w:r>
        <w:t xml:space="preserve">Corrected internal errors (Verification Management Committee description; clarified roles in the dispensing/compounding workflow).</w:t>
      </w:r>
    </w:p>
    <w:p>
      <w:pPr>
        <w:numPr>
          <w:ilvl w:val="0"/>
          <w:numId w:val="1001"/>
        </w:numPr>
        <w:pStyle w:val="Compact"/>
      </w:pPr>
      <w:r>
        <w:t xml:space="preserve">Positioned this Plan explicitly above the NCC QMS and referenced current NCC systems: the QMS platform, the NCC ordering portal, the RxOne (RX-1) dispensing integration, the COA Registry and the Supplier Qualification process.</w:t>
      </w:r>
    </w:p>
    <w:p>
      <w:pPr>
        <w:numPr>
          <w:ilvl w:val="0"/>
          <w:numId w:val="1001"/>
        </w:numPr>
        <w:pStyle w:val="Compact"/>
      </w:pPr>
      <w:r>
        <w:t xml:space="preserve">Acknowledged the current TGA compounding framework, including the October 2024 prohibition on compounding GLP-1 receptor agonists.</w:t>
      </w:r>
    </w:p>
    <w:p>
      <w:r>
        <w:pict>
          <v:rect style="width:0;height:1.5pt" o:hralign="center" o:hrstd="t" o:hr="t"/>
        </w:pict>
      </w:r>
    </w:p>
    <w:p>
      <w:pPr>
        <w:pStyle w:val="Heading1"/>
      </w:pPr>
      <w:bookmarkStart w:id="22" w:name="introduction"/>
      <w:r>
        <w:t xml:space="preserve">1. Introduction</w:t>
      </w:r>
      <w:bookmarkEnd w:id="22"/>
    </w:p>
    <w:p>
      <w:pPr>
        <w:pStyle w:val="Heading2"/>
      </w:pPr>
      <w:bookmarkStart w:id="23" w:name="purpose-of-this-document"/>
      <w:r>
        <w:t xml:space="preserve">1.1 Purpose of this document</w:t>
      </w:r>
      <w:bookmarkEnd w:id="23"/>
    </w:p>
    <w:p>
      <w:pPr>
        <w:pStyle w:val="FirstParagraph"/>
      </w:pPr>
      <w:r>
        <w:t xml:space="preserve">National Custom Compounding’s (NCC) Quality Assurance Plan has been developed to ensure a continuous-improvement approach to safety, quality and efficacy. It is designed to ensure the safety, quality and efficacy of the products produced, as well as the safety of patients, pharmacists and other staff. This is achieved through structured, scheduled clinical audit programs including regular reviews of:</w:t>
      </w:r>
    </w:p>
    <w:p>
      <w:pPr>
        <w:numPr>
          <w:ilvl w:val="0"/>
          <w:numId w:val="1002"/>
        </w:numPr>
        <w:pStyle w:val="Compact"/>
      </w:pPr>
      <w:r>
        <w:t xml:space="preserve">Compounding procedures and batch preparation</w:t>
      </w:r>
    </w:p>
    <w:p>
      <w:pPr>
        <w:numPr>
          <w:ilvl w:val="0"/>
          <w:numId w:val="1002"/>
        </w:numPr>
        <w:pStyle w:val="Compact"/>
      </w:pPr>
      <w:r>
        <w:t xml:space="preserve">Risk-assessment processes for compounded products</w:t>
      </w:r>
    </w:p>
    <w:p>
      <w:pPr>
        <w:numPr>
          <w:ilvl w:val="0"/>
          <w:numId w:val="1002"/>
        </w:numPr>
        <w:pStyle w:val="Compact"/>
      </w:pPr>
      <w:r>
        <w:t xml:space="preserve">Safety and compliance of equipment and facilities</w:t>
      </w:r>
    </w:p>
    <w:p>
      <w:pPr>
        <w:numPr>
          <w:ilvl w:val="0"/>
          <w:numId w:val="1002"/>
        </w:numPr>
        <w:pStyle w:val="Compact"/>
      </w:pPr>
      <w:r>
        <w:t xml:space="preserve">Raw materials</w:t>
      </w:r>
    </w:p>
    <w:p>
      <w:pPr>
        <w:numPr>
          <w:ilvl w:val="0"/>
          <w:numId w:val="1002"/>
        </w:numPr>
        <w:pStyle w:val="Compact"/>
      </w:pPr>
      <w:r>
        <w:t xml:space="preserve">Packaging and labelling</w:t>
      </w:r>
    </w:p>
    <w:p>
      <w:pPr>
        <w:numPr>
          <w:ilvl w:val="0"/>
          <w:numId w:val="1002"/>
        </w:numPr>
        <w:pStyle w:val="Compact"/>
      </w:pPr>
      <w:r>
        <w:t xml:space="preserve">Staff performance</w:t>
      </w:r>
    </w:p>
    <w:p>
      <w:pPr>
        <w:numPr>
          <w:ilvl w:val="0"/>
          <w:numId w:val="1002"/>
        </w:numPr>
        <w:pStyle w:val="Compact"/>
      </w:pPr>
      <w:r>
        <w:t xml:space="preserve">Staff training and accreditation</w:t>
      </w:r>
    </w:p>
    <w:p>
      <w:pPr>
        <w:numPr>
          <w:ilvl w:val="0"/>
          <w:numId w:val="1002"/>
        </w:numPr>
        <w:pStyle w:val="Compact"/>
      </w:pPr>
      <w:r>
        <w:t xml:space="preserve">Management of risks that may lead to injury.</w:t>
      </w:r>
    </w:p>
    <w:p>
      <w:pPr>
        <w:pStyle w:val="FirstParagraph"/>
      </w:pPr>
      <w:r>
        <w:t xml:space="preserve">This Plan outlines NCC’s quality framework and has been developed with reference to the Australian Pharmaceutical Formulary and Handbook (APF), the current PSA Professional Practice Standards, and the Pharmacy Board of Australia’s</w:t>
      </w:r>
      <w:r>
        <w:t xml:space="preserve"> </w:t>
      </w:r>
      <w:r>
        <w:rPr>
          <w:i/>
        </w:rPr>
        <w:t xml:space="preserve">Guidelines on compounding of medicines</w:t>
      </w:r>
      <w:r>
        <w:t xml:space="preserve">, which apply to the preparation, dispensing and supply of all medicines, including compounded medicines.</w:t>
      </w:r>
    </w:p>
    <w:p>
      <w:pPr>
        <w:pStyle w:val="BodyText"/>
      </w:pPr>
      <w:r>
        <w:t xml:space="preserve">This Plan is also aligned with PIC/S PE 010 (Guide to Good Practices for the Preparation of Medicinal Products in Healthcare Establishments) and USP &lt;795&gt; (non-sterile), &lt;797&gt; (sterile) and &lt;800&gt; (hazardous drugs).</w:t>
      </w:r>
    </w:p>
    <w:p>
      <w:pPr>
        <w:pStyle w:val="Heading3"/>
      </w:pPr>
      <w:bookmarkStart w:id="24" w:name="Xa83c144523ae6a474263b39b7831633ca5bcc7a"/>
      <w:r>
        <w:t xml:space="preserve">Relationship to the NCC Quality Management System (QMS)</w:t>
      </w:r>
      <w:bookmarkEnd w:id="24"/>
    </w:p>
    <w:p>
      <w:pPr>
        <w:pStyle w:val="FirstParagraph"/>
      </w:pPr>
      <w:r>
        <w:t xml:space="preserve">This Quality Assurance Plan sits at the top of NCC’s document hierarchy. It is the quality manual — the single document that describes</w:t>
      </w:r>
      <w:r>
        <w:t xml:space="preserve"> </w:t>
      </w:r>
      <w:r>
        <w:rPr>
          <w:i/>
        </w:rPr>
        <w:t xml:space="preserve">how the whole quality system fits together</w:t>
      </w:r>
      <w:r>
        <w:t xml:space="preserve">. The detail behind every statement in this Plan is held, controlled and evidenced in NCC’s</w:t>
      </w:r>
      <w:r>
        <w:t xml:space="preserve"> </w:t>
      </w:r>
      <w:r>
        <w:rPr>
          <w:b/>
        </w:rPr>
        <w:t xml:space="preserve">Quality Management System (QMS)</w:t>
      </w:r>
      <w:r>
        <w:t xml:space="preserve">:</w:t>
      </w:r>
    </w:p>
    <w:p>
      <w:pPr>
        <w:numPr>
          <w:ilvl w:val="0"/>
          <w:numId w:val="1003"/>
        </w:numPr>
        <w:pStyle w:val="Compact"/>
      </w:pPr>
      <w:r>
        <w:t xml:space="preserve">The QMS holds NCC’s controlled Standard Operating Procedures (SOPs), master formulas, quality records, training records, deviation/CAPA and change-control records.</w:t>
      </w:r>
    </w:p>
    <w:p>
      <w:pPr>
        <w:numPr>
          <w:ilvl w:val="0"/>
          <w:numId w:val="1003"/>
        </w:numPr>
        <w:pStyle w:val="Compact"/>
      </w:pPr>
      <w:r>
        <w:t xml:space="preserve">This Plan describes the framework; the QMS provides the operative procedures and the auditable evidence.</w:t>
      </w:r>
    </w:p>
    <w:p>
      <w:pPr>
        <w:numPr>
          <w:ilvl w:val="0"/>
          <w:numId w:val="1003"/>
        </w:numPr>
        <w:pStyle w:val="Compact"/>
      </w:pPr>
      <w:r>
        <w:t xml:space="preserve">Where this Plan refers to a process, the controlling SOP and its records live in the QMS.</w:t>
      </w:r>
    </w:p>
    <w:p>
      <w:pPr>
        <w:pStyle w:val="FirstParagraph"/>
      </w:pPr>
      <w:r>
        <w:t xml:space="preserve">All compounded medicines are prepared against a valid prescription for an individual, identified patient, consistent with the extemporaneous-compounding basis on which pharmacy compounding operates in Australia. NCC compounds within the current Therapeutic Goods Administration (TGA) framework, including the October 2024 prohibition on the compounding of GLP-1 receptor agonists (semaglutide, tirzepatide and liraglutide).</w:t>
      </w:r>
    </w:p>
    <w:p>
      <w:pPr>
        <w:pStyle w:val="Heading2"/>
      </w:pPr>
      <w:bookmarkStart w:id="25" w:name="responsible-personnel"/>
      <w:r>
        <w:t xml:space="preserve">1.2 Responsible personnel</w:t>
      </w:r>
      <w:bookmarkEnd w:id="25"/>
    </w:p>
    <w:p>
      <w:pPr>
        <w:pStyle w:val="FirstParagraph"/>
      </w:pPr>
      <w:r>
        <w:t xml:space="preserve">The key personnel responsible for the implementation, updating and monitoring of the Quality Assurance Plan are:</w:t>
      </w:r>
    </w:p>
    <w:p>
      <w:pPr>
        <w:numPr>
          <w:ilvl w:val="0"/>
          <w:numId w:val="1004"/>
        </w:numPr>
        <w:pStyle w:val="Compact"/>
      </w:pPr>
      <w:r>
        <w:rPr>
          <w:b/>
        </w:rPr>
        <w:t xml:space="preserve">NCC Managing Director</w:t>
      </w:r>
      <w:r>
        <w:t xml:space="preserve"> </w:t>
      </w:r>
      <w:r>
        <w:t xml:space="preserve">— responsible for establishing and developing standards throughout NCC.</w:t>
      </w:r>
    </w:p>
    <w:p>
      <w:pPr>
        <w:numPr>
          <w:ilvl w:val="0"/>
          <w:numId w:val="1004"/>
        </w:numPr>
        <w:pStyle w:val="Compact"/>
      </w:pPr>
      <w:r>
        <w:rPr>
          <w:b/>
        </w:rPr>
        <w:t xml:space="preserve">NCC Sterile &amp; Pharmacist Manager</w:t>
      </w:r>
      <w:r>
        <w:t xml:space="preserve"> </w:t>
      </w:r>
      <w:r>
        <w:t xml:space="preserve">— responsible for ensuring the performance of pharmacists and clinical staff to these standards.</w:t>
      </w:r>
    </w:p>
    <w:p>
      <w:pPr>
        <w:numPr>
          <w:ilvl w:val="0"/>
          <w:numId w:val="1004"/>
        </w:numPr>
        <w:pStyle w:val="Compact"/>
      </w:pPr>
      <w:r>
        <w:rPr>
          <w:b/>
        </w:rPr>
        <w:t xml:space="preserve">NCC Lab Manager</w:t>
      </w:r>
      <w:r>
        <w:t xml:space="preserve"> </w:t>
      </w:r>
      <w:r>
        <w:t xml:space="preserve">— responsible for ensuring the performance of compounding technicians to these standards.</w:t>
      </w:r>
    </w:p>
    <w:p>
      <w:pPr>
        <w:numPr>
          <w:ilvl w:val="0"/>
          <w:numId w:val="1004"/>
        </w:numPr>
        <w:pStyle w:val="Compact"/>
      </w:pPr>
      <w:r>
        <w:rPr>
          <w:b/>
        </w:rPr>
        <w:t xml:space="preserve">NCC Office Manager</w:t>
      </w:r>
      <w:r>
        <w:t xml:space="preserve"> </w:t>
      </w:r>
      <w:r>
        <w:t xml:space="preserve">— responsible for ensuring the performance of administrative staff to these standards.</w:t>
      </w:r>
    </w:p>
    <w:p>
      <w:pPr>
        <w:pStyle w:val="FirstParagraph"/>
      </w:pPr>
      <w:r>
        <w:t xml:space="preserve">The NCC Lab Manager, NCC Office Manager and NCC Sterile &amp; Pharmacist Manager are responsible for ensuring that the NCC facility, equipment and personnel meet the applicable USP and PIC/S standards.</w:t>
      </w:r>
    </w:p>
    <w:p>
      <w:pPr>
        <w:pStyle w:val="BodyText"/>
      </w:pPr>
      <w:r>
        <w:t xml:space="preserve">The NCC Sterile &amp; Pharmacist Manager has authority over the pharmacist-on-duty / pharmacist-in-charge and can stop the release of any compounded medication if quality is in question.</w:t>
      </w:r>
    </w:p>
    <w:p>
      <w:pPr>
        <w:pStyle w:val="BlockText"/>
      </w:pPr>
      <w:r>
        <w:rPr>
          <w:i/>
        </w:rPr>
        <w:t xml:space="preserve">“</w:t>
      </w:r>
      <w:r>
        <w:rPr>
          <w:i/>
        </w:rPr>
        <w:t xml:space="preserve">Ensuring our compounded medications are safe and effective to maximise patient outcomes</w:t>
      </w:r>
      <w:r>
        <w:rPr>
          <w:i/>
        </w:rPr>
        <w:t xml:space="preserve">”</w:t>
      </w:r>
      <w:r>
        <w:rPr>
          <w:i/>
        </w:rPr>
        <w:t xml:space="preserve"> </w:t>
      </w:r>
      <w:r>
        <w:rPr>
          <w:i/>
        </w:rPr>
        <w:t xml:space="preserve">is at the core of what we do, and all our pharmacists and pharmacy staff work towards this aim.</w:t>
      </w:r>
    </w:p>
    <w:p>
      <w:pPr>
        <w:pStyle w:val="FirstParagraph"/>
      </w:pPr>
      <w:r>
        <w:t xml:space="preserve">Quality assurance not only embraces this goal but also establishes the mechanisms to ensure it is reached. Quality assurance is an ongoing activity incorporated into the daily routine to improve service.</w:t>
      </w:r>
    </w:p>
    <w:p>
      <w:pPr>
        <w:pStyle w:val="Heading2"/>
      </w:pPr>
      <w:bookmarkStart w:id="26" w:name="quality-assurance-objectives"/>
      <w:r>
        <w:t xml:space="preserve">1.3 Quality Assurance objectives</w:t>
      </w:r>
      <w:bookmarkEnd w:id="26"/>
    </w:p>
    <w:p>
      <w:pPr>
        <w:pStyle w:val="FirstParagraph"/>
      </w:pPr>
      <w:r>
        <w:t xml:space="preserve">The objectives of NCC’s Quality Assurance are to:</w:t>
      </w:r>
    </w:p>
    <w:p>
      <w:pPr>
        <w:numPr>
          <w:ilvl w:val="0"/>
          <w:numId w:val="1005"/>
        </w:numPr>
        <w:pStyle w:val="Compact"/>
      </w:pPr>
      <w:r>
        <w:t xml:space="preserve">Establish performance standards for all operational staff.</w:t>
      </w:r>
    </w:p>
    <w:p>
      <w:pPr>
        <w:numPr>
          <w:ilvl w:val="0"/>
          <w:numId w:val="1005"/>
        </w:numPr>
        <w:pStyle w:val="Compact"/>
      </w:pPr>
      <w:r>
        <w:t xml:space="preserve">Provide education to meet the set performance standards.</w:t>
      </w:r>
    </w:p>
    <w:p>
      <w:pPr>
        <w:numPr>
          <w:ilvl w:val="0"/>
          <w:numId w:val="1005"/>
        </w:numPr>
        <w:pStyle w:val="Compact"/>
      </w:pPr>
      <w:r>
        <w:t xml:space="preserve">Empower operational staff, through education, to take responsibility for their own clinical and professional performance.</w:t>
      </w:r>
    </w:p>
    <w:p>
      <w:pPr>
        <w:numPr>
          <w:ilvl w:val="0"/>
          <w:numId w:val="1005"/>
        </w:numPr>
        <w:pStyle w:val="Compact"/>
      </w:pPr>
      <w:r>
        <w:t xml:space="preserve">Provide educational and technical support to managers to enable them to develop the evaluation and assessment skills required for the development of professional practice within their teams.</w:t>
      </w:r>
    </w:p>
    <w:p>
      <w:pPr>
        <w:numPr>
          <w:ilvl w:val="0"/>
          <w:numId w:val="1005"/>
        </w:numPr>
        <w:pStyle w:val="Compact"/>
      </w:pPr>
      <w:r>
        <w:t xml:space="preserve">Evaluate the clinical performance of the service and of individual operational staff to ensure current clinical standards are met.</w:t>
      </w:r>
    </w:p>
    <w:p>
      <w:pPr>
        <w:numPr>
          <w:ilvl w:val="0"/>
          <w:numId w:val="1005"/>
        </w:numPr>
        <w:pStyle w:val="Compact"/>
      </w:pPr>
      <w:r>
        <w:t xml:space="preserve">Monitor the standard of clinical performance to ensure it meets service objectives, in line with contemporary best practice.</w:t>
      </w:r>
    </w:p>
    <w:p>
      <w:pPr>
        <w:numPr>
          <w:ilvl w:val="0"/>
          <w:numId w:val="1005"/>
        </w:numPr>
        <w:pStyle w:val="Compact"/>
      </w:pPr>
      <w:r>
        <w:t xml:space="preserve">Adjust clinical standards of the service based on evidence provided through evidence-based practice.</w:t>
      </w:r>
    </w:p>
    <w:p>
      <w:pPr>
        <w:numPr>
          <w:ilvl w:val="0"/>
          <w:numId w:val="1005"/>
        </w:numPr>
        <w:pStyle w:val="Compact"/>
      </w:pPr>
      <w:r>
        <w:t xml:space="preserve">Provide a conduit for two-way communication at all levels of the organisation on clinical performance, based on evidence gathered through assessment, evaluation and research.</w:t>
      </w:r>
    </w:p>
    <w:p>
      <w:r>
        <w:pict>
          <v:rect style="width:0;height:1.5pt" o:hralign="center" o:hrstd="t" o:hr="t"/>
        </w:pict>
      </w:r>
    </w:p>
    <w:p>
      <w:pPr>
        <w:pStyle w:val="Heading1"/>
      </w:pPr>
      <w:bookmarkStart w:id="27" w:name="standards"/>
      <w:r>
        <w:t xml:space="preserve">2. Standards</w:t>
      </w:r>
      <w:bookmarkEnd w:id="27"/>
    </w:p>
    <w:p>
      <w:pPr>
        <w:pStyle w:val="Heading2"/>
      </w:pPr>
      <w:bookmarkStart w:id="28" w:name="pharmacy-registration-accreditation"/>
      <w:r>
        <w:t xml:space="preserve">2.1 Pharmacy registration &amp; accreditation</w:t>
      </w:r>
      <w:bookmarkEnd w:id="28"/>
    </w:p>
    <w:p>
      <w:pPr>
        <w:pStyle w:val="FirstParagraph"/>
      </w:pPr>
      <w:r>
        <w:t xml:space="preserve">Gooding Drive Pharmacy, trading as National Custom Compounding (NCC), is a registered Section 90 community pharmacy and compounding pharmacy. The pharmacy is registered with Queensland Health and is a member of the Pharmacy Guild of Australia and the Australian Society of Compounding Pharmacists.</w:t>
      </w:r>
    </w:p>
    <w:p>
      <w:pPr>
        <w:pStyle w:val="BodyText"/>
      </w:pPr>
      <w:r>
        <w:t xml:space="preserve">All pharmacists are currently registered with the Pharmacy Board of Australia through AHPRA.</w:t>
      </w:r>
    </w:p>
    <w:p>
      <w:pPr>
        <w:pStyle w:val="BodyText"/>
      </w:pPr>
      <w:r>
        <w:t xml:space="preserve">NCC operates in line with community-pharmacy accreditation against the Australian Community Pharmacy Standard</w:t>
      </w:r>
      <w:r>
        <w:t xml:space="preserve"> </w:t>
      </w:r>
      <w:r>
        <w:rPr>
          <w:b/>
        </w:rPr>
        <w:t xml:space="preserve">AS 85000:2024</w:t>
      </w:r>
      <w:r>
        <w:t xml:space="preserve">. This standard is administered through the Pharmacy Guild of Australia’s accreditation program, which transitions from the</w:t>
      </w:r>
      <w:r>
        <w:t xml:space="preserve"> </w:t>
      </w:r>
      <w:r>
        <w:rPr>
          <w:b/>
        </w:rPr>
        <w:t xml:space="preserve">Quality Care Pharmacy Program (QCPP)</w:t>
      </w:r>
      <w:r>
        <w:t xml:space="preserve"> </w:t>
      </w:r>
      <w:r>
        <w:t xml:space="preserve">to the</w:t>
      </w:r>
      <w:r>
        <w:t xml:space="preserve"> </w:t>
      </w:r>
      <w:r>
        <w:rPr>
          <w:b/>
        </w:rPr>
        <w:t xml:space="preserve">Quality and Safety Pharmacy Program (QSPP)</w:t>
      </w:r>
      <w:r>
        <w:t xml:space="preserve"> </w:t>
      </w:r>
      <w:r>
        <w:t xml:space="preserve">from</w:t>
      </w:r>
      <w:r>
        <w:t xml:space="preserve"> </w:t>
      </w:r>
      <w:r>
        <w:rPr>
          <w:b/>
        </w:rPr>
        <w:t xml:space="preserve">1 October 2026</w:t>
      </w:r>
      <w:r>
        <w:t xml:space="preserve">. Under the QSPP tiered service model, complex compounding is assessed at the highest service tier against demanding facility, equipment, training and quality-control criteria.</w:t>
      </w:r>
    </w:p>
    <w:p>
      <w:pPr>
        <w:pStyle w:val="Heading2"/>
      </w:pPr>
      <w:bookmarkStart w:id="29" w:name="professional-memberships"/>
      <w:r>
        <w:t xml:space="preserve">2.2 Professional memberships</w:t>
      </w:r>
      <w:bookmarkEnd w:id="29"/>
    </w:p>
    <w:p>
      <w:pPr>
        <w:pStyle w:val="FirstParagraph"/>
      </w:pPr>
      <w:r>
        <w:t xml:space="preserve">NCC is a member of:</w:t>
      </w:r>
    </w:p>
    <w:p>
      <w:pPr>
        <w:numPr>
          <w:ilvl w:val="0"/>
          <w:numId w:val="1006"/>
        </w:numPr>
        <w:pStyle w:val="Compact"/>
      </w:pPr>
      <w:r>
        <w:t xml:space="preserve">the Pharmacy Guild of Australia (PGA);</w:t>
      </w:r>
    </w:p>
    <w:p>
      <w:pPr>
        <w:numPr>
          <w:ilvl w:val="0"/>
          <w:numId w:val="1006"/>
        </w:numPr>
        <w:pStyle w:val="Compact"/>
      </w:pPr>
      <w:r>
        <w:t xml:space="preserve">the Professional Compounding Chemists of Australia (PCCA);</w:t>
      </w:r>
    </w:p>
    <w:p>
      <w:pPr>
        <w:numPr>
          <w:ilvl w:val="0"/>
          <w:numId w:val="1006"/>
        </w:numPr>
        <w:pStyle w:val="Compact"/>
      </w:pPr>
      <w:r>
        <w:t xml:space="preserve">the Australian Society of Compounding Pharmacists; and</w:t>
      </w:r>
    </w:p>
    <w:p>
      <w:pPr>
        <w:numPr>
          <w:ilvl w:val="0"/>
          <w:numId w:val="1006"/>
        </w:numPr>
        <w:pStyle w:val="Compact"/>
      </w:pPr>
      <w:r>
        <w:t xml:space="preserve">the Alliance for Pharmacy Compounding (APC), internationally (formerly IACP).</w:t>
      </w:r>
    </w:p>
    <w:p>
      <w:pPr>
        <w:pStyle w:val="Heading2"/>
      </w:pPr>
      <w:bookmarkStart w:id="30" w:name="standards-and-certification"/>
      <w:r>
        <w:t xml:space="preserve">2.3 Standards and certification</w:t>
      </w:r>
      <w:bookmarkEnd w:id="30"/>
    </w:p>
    <w:p>
      <w:pPr>
        <w:pStyle w:val="FirstParagraph"/>
      </w:pPr>
      <w:r>
        <w:t xml:space="preserve">Community-pharmacy accreditation against AS 85000:2024 occurs on the cycle set by the accreditation program. The program provides guidance on facility and operational expectations for a compounding pharmacy; however, because of the complexity of NCC’s compounding, the business additionally chooses to follow international best practice and guidelines.</w:t>
      </w:r>
    </w:p>
    <w:p>
      <w:pPr>
        <w:pStyle w:val="BodyText"/>
      </w:pPr>
      <w:r>
        <w:t xml:space="preserve">NCC complies with the standards and guidelines of:</w:t>
      </w:r>
    </w:p>
    <w:p>
      <w:pPr>
        <w:numPr>
          <w:ilvl w:val="0"/>
          <w:numId w:val="1007"/>
        </w:numPr>
        <w:pStyle w:val="Compact"/>
      </w:pPr>
      <w:r>
        <w:t xml:space="preserve">Australian Community Pharmacy Standard</w:t>
      </w:r>
      <w:r>
        <w:t xml:space="preserve"> </w:t>
      </w:r>
      <w:r>
        <w:rPr>
          <w:b/>
        </w:rPr>
        <w:t xml:space="preserve">AS 85000:2024</w:t>
      </w:r>
      <w:r>
        <w:t xml:space="preserve"> </w:t>
      </w:r>
      <w:r>
        <w:t xml:space="preserve">(community pharmacy)</w:t>
      </w:r>
    </w:p>
    <w:p>
      <w:pPr>
        <w:numPr>
          <w:ilvl w:val="0"/>
          <w:numId w:val="1007"/>
        </w:numPr>
        <w:pStyle w:val="Compact"/>
      </w:pPr>
      <w:r>
        <w:rPr>
          <w:b/>
        </w:rPr>
        <w:t xml:space="preserve">ISO 14644</w:t>
      </w:r>
      <w:r>
        <w:t xml:space="preserve"> </w:t>
      </w:r>
      <w:r>
        <w:t xml:space="preserve">— Cleanrooms and associated controlled environments (air-cleanliness classification)</w:t>
      </w:r>
    </w:p>
    <w:p>
      <w:pPr>
        <w:numPr>
          <w:ilvl w:val="0"/>
          <w:numId w:val="1007"/>
        </w:numPr>
        <w:pStyle w:val="Compact"/>
      </w:pPr>
      <w:r>
        <w:rPr>
          <w:b/>
        </w:rPr>
        <w:t xml:space="preserve">AS 4273</w:t>
      </w:r>
      <w:r>
        <w:t xml:space="preserve"> </w:t>
      </w:r>
      <w:r>
        <w:t xml:space="preserve">— Design, installation and use of pharmaceutical isolators</w:t>
      </w:r>
    </w:p>
    <w:p>
      <w:pPr>
        <w:numPr>
          <w:ilvl w:val="0"/>
          <w:numId w:val="1007"/>
        </w:numPr>
        <w:pStyle w:val="Compact"/>
      </w:pPr>
      <w:r>
        <w:rPr>
          <w:b/>
        </w:rPr>
        <w:t xml:space="preserve">AS 1807</w:t>
      </w:r>
      <w:r>
        <w:t xml:space="preserve"> </w:t>
      </w:r>
      <w:r>
        <w:t xml:space="preserve">— Cleanrooms, workstations, safety cabinets and pharmaceutical isolators (methods of test)</w:t>
      </w:r>
    </w:p>
    <w:p>
      <w:pPr>
        <w:numPr>
          <w:ilvl w:val="0"/>
          <w:numId w:val="1007"/>
        </w:numPr>
        <w:pStyle w:val="Compact"/>
      </w:pPr>
      <w:r>
        <w:rPr>
          <w:b/>
        </w:rPr>
        <w:t xml:space="preserve">PIC/S PE 010</w:t>
      </w:r>
      <w:r>
        <w:t xml:space="preserve"> </w:t>
      </w:r>
      <w:r>
        <w:t xml:space="preserve">— Guide to Good Practices for the Preparation of Medicinal Products in Healthcare Establishments</w:t>
      </w:r>
    </w:p>
    <w:p>
      <w:pPr>
        <w:numPr>
          <w:ilvl w:val="0"/>
          <w:numId w:val="1007"/>
        </w:numPr>
        <w:pStyle w:val="Compact"/>
      </w:pPr>
      <w:r>
        <w:rPr>
          <w:b/>
        </w:rPr>
        <w:t xml:space="preserve">USP</w:t>
      </w:r>
      <w:r>
        <w:t xml:space="preserve"> </w:t>
      </w:r>
      <w:r>
        <w:t xml:space="preserve">Chapters</w:t>
      </w:r>
      <w:r>
        <w:t xml:space="preserve"> </w:t>
      </w:r>
      <w:r>
        <w:rPr>
          <w:b/>
        </w:rPr>
        <w:t xml:space="preserve">&lt;795&gt;</w:t>
      </w:r>
      <w:r>
        <w:t xml:space="preserve">,</w:t>
      </w:r>
      <w:r>
        <w:t xml:space="preserve"> </w:t>
      </w:r>
      <w:r>
        <w:rPr>
          <w:b/>
        </w:rPr>
        <w:t xml:space="preserve">&lt;797&gt;</w:t>
      </w:r>
      <w:r>
        <w:t xml:space="preserve"> </w:t>
      </w:r>
      <w:r>
        <w:t xml:space="preserve">and</w:t>
      </w:r>
      <w:r>
        <w:t xml:space="preserve"> </w:t>
      </w:r>
      <w:r>
        <w:rPr>
          <w:b/>
        </w:rPr>
        <w:t xml:space="preserve">&lt;800&gt;</w:t>
      </w:r>
    </w:p>
    <w:p>
      <w:pPr>
        <w:numPr>
          <w:ilvl w:val="0"/>
          <w:numId w:val="1007"/>
        </w:numPr>
        <w:pStyle w:val="Compact"/>
      </w:pPr>
      <w:r>
        <w:rPr>
          <w:b/>
        </w:rPr>
        <w:t xml:space="preserve">Pharmacy Board of Australia</w:t>
      </w:r>
      <w:r>
        <w:t xml:space="preserve"> </w:t>
      </w:r>
      <w:r>
        <w:t xml:space="preserve">codes, guidelines and policies, including the</w:t>
      </w:r>
      <w:r>
        <w:t xml:space="preserve"> </w:t>
      </w:r>
      <w:r>
        <w:rPr>
          <w:i/>
        </w:rPr>
        <w:t xml:space="preserve">Guidelines on compounding of medicines</w:t>
      </w:r>
    </w:p>
    <w:p>
      <w:pPr>
        <w:numPr>
          <w:ilvl w:val="0"/>
          <w:numId w:val="1007"/>
        </w:numPr>
        <w:pStyle w:val="Compact"/>
      </w:pPr>
      <w:r>
        <w:rPr>
          <w:b/>
        </w:rPr>
        <w:t xml:space="preserve">PSA</w:t>
      </w:r>
      <w:r>
        <w:t xml:space="preserve"> </w:t>
      </w:r>
      <w:r>
        <w:t xml:space="preserve">(Pharmaceutical Society of Australia) Professional Practice Standards (current edition)</w:t>
      </w:r>
    </w:p>
    <w:p>
      <w:pPr>
        <w:numPr>
          <w:ilvl w:val="0"/>
          <w:numId w:val="1007"/>
        </w:numPr>
        <w:pStyle w:val="Compact"/>
      </w:pPr>
      <w:r>
        <w:rPr>
          <w:b/>
        </w:rPr>
        <w:t xml:space="preserve">Queensland</w:t>
      </w:r>
      <w:r>
        <w:t xml:space="preserve"> </w:t>
      </w:r>
      <w:r>
        <w:t xml:space="preserve">Medicines and Poisons (Medicines) Regulation 2021, made under the</w:t>
      </w:r>
      <w:r>
        <w:t xml:space="preserve"> </w:t>
      </w:r>
      <w:r>
        <w:rPr>
          <w:i/>
        </w:rPr>
        <w:t xml:space="preserve">Medicines and Poisons Act 2019</w:t>
      </w:r>
      <w:r>
        <w:t xml:space="preserve"> </w:t>
      </w:r>
      <w:r>
        <w:t xml:space="preserve">(Qld), and applicable Work Health and Safety obligations.</w:t>
      </w:r>
    </w:p>
    <w:p>
      <w:pPr>
        <w:pStyle w:val="FirstParagraph"/>
      </w:pPr>
      <w:r>
        <w:t xml:space="preserve">Where standards overlap, NCC applies the stricter control.</w:t>
      </w:r>
    </w:p>
    <w:p>
      <w:r>
        <w:pict>
          <v:rect style="width:0;height:1.5pt" o:hralign="center" o:hrstd="t" o:hr="t"/>
        </w:pict>
      </w:r>
    </w:p>
    <w:p>
      <w:pPr>
        <w:pStyle w:val="Heading1"/>
      </w:pPr>
      <w:bookmarkStart w:id="31" w:name="personnel"/>
      <w:r>
        <w:t xml:space="preserve">3. Personnel</w:t>
      </w:r>
      <w:bookmarkEnd w:id="31"/>
    </w:p>
    <w:p>
      <w:pPr>
        <w:pStyle w:val="Heading2"/>
      </w:pPr>
      <w:bookmarkStart w:id="32" w:name="quality-and-risk-committees"/>
      <w:r>
        <w:t xml:space="preserve">3.1 Quality and risk committees</w:t>
      </w:r>
      <w:bookmarkEnd w:id="32"/>
    </w:p>
    <w:p>
      <w:pPr>
        <w:pStyle w:val="FirstParagraph"/>
      </w:pPr>
      <w:r>
        <w:t xml:space="preserve">NCC operates a Quality Management Committee, a Risk Management Committee and a Verification Management Committee. Each committee has two members, with one member common to all three committees to provide cohesion across them.</w:t>
      </w:r>
    </w:p>
    <w:p>
      <w:pPr>
        <w:pStyle w:val="Heading3"/>
      </w:pPr>
      <w:bookmarkStart w:id="33" w:name="i.-quality-management-committee"/>
      <w:r>
        <w:t xml:space="preserve">I. Quality Management Committee</w:t>
      </w:r>
      <w:bookmarkEnd w:id="33"/>
    </w:p>
    <w:p>
      <w:pPr>
        <w:pStyle w:val="FirstParagraph"/>
      </w:pPr>
      <w:r>
        <w:t xml:space="preserve">The Quality Management Committee is responsible for:</w:t>
      </w:r>
    </w:p>
    <w:p>
      <w:pPr>
        <w:numPr>
          <w:ilvl w:val="0"/>
          <w:numId w:val="1008"/>
        </w:numPr>
        <w:pStyle w:val="Compact"/>
      </w:pPr>
      <w:r>
        <w:t xml:space="preserve">Defining and establishing the quality-management documentation and reporting system.</w:t>
      </w:r>
    </w:p>
    <w:p>
      <w:pPr>
        <w:numPr>
          <w:ilvl w:val="0"/>
          <w:numId w:val="1008"/>
        </w:numPr>
        <w:pStyle w:val="Compact"/>
      </w:pPr>
      <w:r>
        <w:t xml:space="preserve">Individual personnel roles regarding quality management.</w:t>
      </w:r>
    </w:p>
    <w:p>
      <w:pPr>
        <w:numPr>
          <w:ilvl w:val="0"/>
          <w:numId w:val="1008"/>
        </w:numPr>
        <w:pStyle w:val="Compact"/>
      </w:pPr>
      <w:r>
        <w:t xml:space="preserve">Staff training in quality.</w:t>
      </w:r>
    </w:p>
    <w:p>
      <w:pPr>
        <w:numPr>
          <w:ilvl w:val="0"/>
          <w:numId w:val="1008"/>
        </w:numPr>
        <w:pStyle w:val="Compact"/>
      </w:pPr>
      <w:r>
        <w:t xml:space="preserve">Quality communication.</w:t>
      </w:r>
    </w:p>
    <w:p>
      <w:pPr>
        <w:numPr>
          <w:ilvl w:val="0"/>
          <w:numId w:val="1008"/>
        </w:numPr>
        <w:pStyle w:val="Compact"/>
      </w:pPr>
      <w:r>
        <w:t xml:space="preserve">Quality outcomes relating to previous Quality Management Committee activities.</w:t>
      </w:r>
    </w:p>
    <w:p>
      <w:pPr>
        <w:numPr>
          <w:ilvl w:val="0"/>
          <w:numId w:val="1008"/>
        </w:numPr>
        <w:pStyle w:val="Compact"/>
      </w:pPr>
      <w:r>
        <w:t xml:space="preserve">Documenting recommendations and responses in relation to quality control.</w:t>
      </w:r>
    </w:p>
    <w:p>
      <w:pPr>
        <w:numPr>
          <w:ilvl w:val="0"/>
          <w:numId w:val="1008"/>
        </w:numPr>
        <w:pStyle w:val="Compact"/>
      </w:pPr>
      <w:r>
        <w:t xml:space="preserve">Monitoring quality by reviewing data collected by the pharmacy.</w:t>
      </w:r>
    </w:p>
    <w:p>
      <w:pPr>
        <w:numPr>
          <w:ilvl w:val="0"/>
          <w:numId w:val="1008"/>
        </w:numPr>
        <w:pStyle w:val="Compact"/>
      </w:pPr>
      <w:r>
        <w:t xml:space="preserve">Implementing quality-control measures that streamline activities and performance.</w:t>
      </w:r>
    </w:p>
    <w:p>
      <w:pPr>
        <w:numPr>
          <w:ilvl w:val="0"/>
          <w:numId w:val="1008"/>
        </w:numPr>
        <w:pStyle w:val="Compact"/>
      </w:pPr>
      <w:r>
        <w:t xml:space="preserve">Using recorded data trends, contrasts and comparisons to determine quality control.</w:t>
      </w:r>
    </w:p>
    <w:p>
      <w:pPr>
        <w:pStyle w:val="Heading3"/>
      </w:pPr>
      <w:bookmarkStart w:id="34" w:name="ii.-risk-management-committee"/>
      <w:r>
        <w:t xml:space="preserve">II. Risk Management Committee</w:t>
      </w:r>
      <w:bookmarkEnd w:id="34"/>
    </w:p>
    <w:p>
      <w:pPr>
        <w:pStyle w:val="FirstParagraph"/>
      </w:pPr>
      <w:r>
        <w:t xml:space="preserve">The Risk Management Committee is responsible for:</w:t>
      </w:r>
    </w:p>
    <w:p>
      <w:pPr>
        <w:numPr>
          <w:ilvl w:val="0"/>
          <w:numId w:val="1009"/>
        </w:numPr>
        <w:pStyle w:val="Compact"/>
      </w:pPr>
      <w:r>
        <w:t xml:space="preserve">Ensuring that risk is communicated between the Risk Management Committee and pharmacy personnel.</w:t>
      </w:r>
    </w:p>
    <w:p>
      <w:pPr>
        <w:numPr>
          <w:ilvl w:val="0"/>
          <w:numId w:val="1009"/>
        </w:numPr>
        <w:pStyle w:val="Compact"/>
      </w:pPr>
      <w:r>
        <w:t xml:space="preserve">Ensuring that the risk-management program requires personnel to assess risk on a continual basis.</w:t>
      </w:r>
    </w:p>
    <w:p>
      <w:pPr>
        <w:numPr>
          <w:ilvl w:val="0"/>
          <w:numId w:val="1009"/>
        </w:numPr>
        <w:pStyle w:val="Compact"/>
      </w:pPr>
      <w:r>
        <w:t xml:space="preserve">Staff training in risk management.</w:t>
      </w:r>
    </w:p>
    <w:p>
      <w:pPr>
        <w:numPr>
          <w:ilvl w:val="0"/>
          <w:numId w:val="1009"/>
        </w:numPr>
        <w:pStyle w:val="Compact"/>
      </w:pPr>
      <w:r>
        <w:t xml:space="preserve">Risk communication.</w:t>
      </w:r>
    </w:p>
    <w:p>
      <w:pPr>
        <w:numPr>
          <w:ilvl w:val="0"/>
          <w:numId w:val="1009"/>
        </w:numPr>
        <w:pStyle w:val="Compact"/>
      </w:pPr>
      <w:r>
        <w:t xml:space="preserve">Risk outcomes relating to previous Risk Management Committee activities.</w:t>
      </w:r>
    </w:p>
    <w:p>
      <w:pPr>
        <w:numPr>
          <w:ilvl w:val="0"/>
          <w:numId w:val="1009"/>
        </w:numPr>
        <w:pStyle w:val="Compact"/>
      </w:pPr>
      <w:r>
        <w:t xml:space="preserve">Prevention of needle-stick injuries.</w:t>
      </w:r>
    </w:p>
    <w:p>
      <w:pPr>
        <w:numPr>
          <w:ilvl w:val="0"/>
          <w:numId w:val="1009"/>
        </w:numPr>
        <w:pStyle w:val="Compact"/>
      </w:pPr>
      <w:r>
        <w:t xml:space="preserve">Individual personnel roles in regard to risk management.</w:t>
      </w:r>
    </w:p>
    <w:p>
      <w:pPr>
        <w:numPr>
          <w:ilvl w:val="0"/>
          <w:numId w:val="1009"/>
        </w:numPr>
        <w:pStyle w:val="Compact"/>
      </w:pPr>
      <w:r>
        <w:t xml:space="preserve">Evaluating, examining and critiquing risk in a systematic approach across all categories of a comprehensive categorising system that encompasses all facets of pharmacy performance.</w:t>
      </w:r>
    </w:p>
    <w:p>
      <w:pPr>
        <w:numPr>
          <w:ilvl w:val="0"/>
          <w:numId w:val="1009"/>
        </w:numPr>
        <w:pStyle w:val="Compact"/>
      </w:pPr>
      <w:r>
        <w:t xml:space="preserve">Employing risk-management monitoring by reviewing data, including current documentation, direct observation and interviews with personnel.</w:t>
      </w:r>
    </w:p>
    <w:p>
      <w:pPr>
        <w:numPr>
          <w:ilvl w:val="0"/>
          <w:numId w:val="1009"/>
        </w:numPr>
        <w:pStyle w:val="Compact"/>
      </w:pPr>
      <w:r>
        <w:t xml:space="preserve">Implementing appropriate preventive and corrective measures upon identification of risk.</w:t>
      </w:r>
    </w:p>
    <w:p>
      <w:pPr>
        <w:numPr>
          <w:ilvl w:val="0"/>
          <w:numId w:val="1009"/>
        </w:numPr>
        <w:pStyle w:val="Compact"/>
      </w:pPr>
      <w:r>
        <w:t xml:space="preserve">Setting control parameters to minimise risk to a level the committee agrees is acceptable, without sacrificing the quality, safety or integrity of the processes involved.</w:t>
      </w:r>
    </w:p>
    <w:p>
      <w:pPr>
        <w:pStyle w:val="Heading3"/>
      </w:pPr>
      <w:bookmarkStart w:id="35" w:name="iii.-verification-management-committee"/>
      <w:r>
        <w:t xml:space="preserve">III. Verification Management Committee</w:t>
      </w:r>
      <w:bookmarkEnd w:id="35"/>
    </w:p>
    <w:p>
      <w:pPr>
        <w:pStyle w:val="FirstParagraph"/>
      </w:pPr>
      <w:r>
        <w:t xml:space="preserve">The Verification Management Committee is responsible for:</w:t>
      </w:r>
    </w:p>
    <w:p>
      <w:pPr>
        <w:numPr>
          <w:ilvl w:val="0"/>
          <w:numId w:val="1010"/>
        </w:numPr>
        <w:pStyle w:val="Compact"/>
      </w:pPr>
      <w:r>
        <w:t xml:space="preserve">Implementing verification protocols to verify all quality controls and risk assessments.</w:t>
      </w:r>
    </w:p>
    <w:p>
      <w:pPr>
        <w:numPr>
          <w:ilvl w:val="0"/>
          <w:numId w:val="1010"/>
        </w:numPr>
        <w:pStyle w:val="Compact"/>
      </w:pPr>
      <w:r>
        <w:t xml:space="preserve">Employing verification protocols across all categories of a comprehensive categorising system that encompasses all facets of pharmacy performance, throughout all phases of preparation development.</w:t>
      </w:r>
    </w:p>
    <w:p>
      <w:pPr>
        <w:numPr>
          <w:ilvl w:val="0"/>
          <w:numId w:val="1010"/>
        </w:numPr>
        <w:pStyle w:val="Compact"/>
      </w:pPr>
      <w:r>
        <w:t xml:space="preserve">Staff training in verification.</w:t>
      </w:r>
    </w:p>
    <w:p>
      <w:pPr>
        <w:numPr>
          <w:ilvl w:val="0"/>
          <w:numId w:val="1010"/>
        </w:numPr>
        <w:pStyle w:val="Compact"/>
      </w:pPr>
      <w:r>
        <w:t xml:space="preserve">Verification communication.</w:t>
      </w:r>
    </w:p>
    <w:p>
      <w:pPr>
        <w:numPr>
          <w:ilvl w:val="0"/>
          <w:numId w:val="1010"/>
        </w:numPr>
        <w:pStyle w:val="Compact"/>
      </w:pPr>
      <w:r>
        <w:t xml:space="preserve">Individual personnel roles in regard to verification.</w:t>
      </w:r>
    </w:p>
    <w:p>
      <w:pPr>
        <w:numPr>
          <w:ilvl w:val="0"/>
          <w:numId w:val="1010"/>
        </w:numPr>
        <w:pStyle w:val="Compact"/>
      </w:pPr>
      <w:r>
        <w:t xml:space="preserve">Monitoring verification by reviewing data, including current documentation, direct observation and interviews with personnel.</w:t>
      </w:r>
    </w:p>
    <w:p>
      <w:pPr>
        <w:numPr>
          <w:ilvl w:val="0"/>
          <w:numId w:val="1010"/>
        </w:numPr>
        <w:pStyle w:val="Compact"/>
      </w:pPr>
      <w:r>
        <w:t xml:space="preserve">Determining the most appropriate verification protocol by considering evidence and scientific data/literature.</w:t>
      </w:r>
    </w:p>
    <w:p>
      <w:pPr>
        <w:numPr>
          <w:ilvl w:val="0"/>
          <w:numId w:val="1010"/>
        </w:numPr>
        <w:pStyle w:val="Compact"/>
      </w:pPr>
      <w:r>
        <w:t xml:space="preserve">Establishing statistical data or qualitative values to determine the accepted parameters for the verification protocol.</w:t>
      </w:r>
    </w:p>
    <w:p>
      <w:pPr>
        <w:numPr>
          <w:ilvl w:val="0"/>
          <w:numId w:val="1010"/>
        </w:numPr>
        <w:pStyle w:val="Compact"/>
      </w:pPr>
      <w:r>
        <w:t xml:space="preserve">Ensuring at least two individuals perform a particular verification independently of one another; verification cannot be completed by a single person.</w:t>
      </w:r>
    </w:p>
    <w:p>
      <w:pPr>
        <w:numPr>
          <w:ilvl w:val="0"/>
          <w:numId w:val="1010"/>
        </w:numPr>
        <w:pStyle w:val="Compact"/>
      </w:pPr>
      <w:r>
        <w:t xml:space="preserve">Comparing individual results — if both assessments match, the process can be deemed verified.</w:t>
      </w:r>
    </w:p>
    <w:p>
      <w:pPr>
        <w:numPr>
          <w:ilvl w:val="0"/>
          <w:numId w:val="1010"/>
        </w:numPr>
        <w:pStyle w:val="Compact"/>
      </w:pPr>
      <w:r>
        <w:t xml:space="preserve">Implementing corrective and preventive measures, policies and procedures to further improve verification wherever possible.</w:t>
      </w:r>
    </w:p>
    <w:p>
      <w:pPr>
        <w:pStyle w:val="Heading2"/>
      </w:pPr>
      <w:bookmarkStart w:id="36" w:name="staff-qualifications"/>
      <w:r>
        <w:t xml:space="preserve">3.2 Staff qualifications</w:t>
      </w:r>
      <w:bookmarkEnd w:id="36"/>
    </w:p>
    <w:p>
      <w:pPr>
        <w:pStyle w:val="FirstParagraph"/>
      </w:pPr>
      <w:r>
        <w:t xml:space="preserve">All pharmacists employed by Gooding Drive Pharmacy must be specifically trained in compounding by a recognised provider, registered under AHPRA, and meet continuing professional development (CPD) obligations. Recognised providers include Medisca Australia and PCCA Australia. All pharmacists also hold current First Aid and CPR accreditation.</w:t>
      </w:r>
    </w:p>
    <w:p>
      <w:pPr>
        <w:pStyle w:val="Heading2"/>
      </w:pPr>
      <w:bookmarkStart w:id="37" w:name="staff-training"/>
      <w:r>
        <w:t xml:space="preserve">3.3 Staff training</w:t>
      </w:r>
      <w:bookmarkEnd w:id="37"/>
    </w:p>
    <w:p>
      <w:pPr>
        <w:pStyle w:val="FirstParagraph"/>
      </w:pPr>
      <w:r>
        <w:t xml:space="preserve">All staff members who work inside the compounding laboratories must have undertaken compounding-technician training provided by a recognised provider. All staff also complete induction training as per NCC’s Standard Operating Procedures (SOPs).</w:t>
      </w:r>
    </w:p>
    <w:p>
      <w:pPr>
        <w:pStyle w:val="BodyText"/>
      </w:pPr>
      <w:r>
        <w:t xml:space="preserve">All staff members participate in daily team huddles and monthly team meetings, and complete the CPD required under the accreditation program each year.</w:t>
      </w:r>
    </w:p>
    <w:p>
      <w:pPr>
        <w:pStyle w:val="BodyText"/>
      </w:pPr>
      <w:r>
        <w:t xml:space="preserve">NCC ensures all appropriate staff read and understand its SOPs, as well as any new or modified SOPs, prior to the implementation date. Staff sign the SOP acknowledgement prior to the implementation date to confirm they have read and understood the document.</w:t>
      </w:r>
    </w:p>
    <w:p>
      <w:pPr>
        <w:pStyle w:val="BodyText"/>
      </w:pPr>
      <w:r>
        <w:t xml:space="preserve">A controlled copy of each SOP is maintained in the NCC QMS, and all updates to SOPs are version-controlled and logged there. Acknowledged and signed staff records are retained centrally in NCC’s document-management systems.</w:t>
      </w:r>
    </w:p>
    <w:p>
      <w:pPr>
        <w:pStyle w:val="Heading2"/>
      </w:pPr>
      <w:bookmarkStart w:id="38" w:name="infection-control"/>
      <w:r>
        <w:t xml:space="preserve">3.4 Infection control</w:t>
      </w:r>
      <w:bookmarkEnd w:id="38"/>
    </w:p>
    <w:p>
      <w:pPr>
        <w:pStyle w:val="FirstParagraph"/>
      </w:pPr>
      <w:r>
        <w:t xml:space="preserve">NCC staff are not permitted to compound if they have one of (but not limited to) the following infections or communicable diseases:</w:t>
      </w:r>
    </w:p>
    <w:p>
      <w:pPr>
        <w:numPr>
          <w:ilvl w:val="0"/>
          <w:numId w:val="1011"/>
        </w:numPr>
        <w:pStyle w:val="Compact"/>
      </w:pPr>
      <w:r>
        <w:t xml:space="preserve">Active respiratory infections</w:t>
      </w:r>
    </w:p>
    <w:p>
      <w:pPr>
        <w:numPr>
          <w:ilvl w:val="0"/>
          <w:numId w:val="1011"/>
        </w:numPr>
        <w:pStyle w:val="Compact"/>
      </w:pPr>
      <w:r>
        <w:t xml:space="preserve">Severe or unusual coughing</w:t>
      </w:r>
    </w:p>
    <w:p>
      <w:pPr>
        <w:numPr>
          <w:ilvl w:val="0"/>
          <w:numId w:val="1011"/>
        </w:numPr>
        <w:pStyle w:val="Compact"/>
      </w:pPr>
      <w:r>
        <w:t xml:space="preserve">Fever</w:t>
      </w:r>
    </w:p>
    <w:p>
      <w:pPr>
        <w:numPr>
          <w:ilvl w:val="0"/>
          <w:numId w:val="1011"/>
        </w:numPr>
        <w:pStyle w:val="Compact"/>
      </w:pPr>
      <w:r>
        <w:t xml:space="preserve">Significant rashes</w:t>
      </w:r>
    </w:p>
    <w:p>
      <w:pPr>
        <w:numPr>
          <w:ilvl w:val="0"/>
          <w:numId w:val="1011"/>
        </w:numPr>
        <w:pStyle w:val="Compact"/>
      </w:pPr>
      <w:r>
        <w:t xml:space="preserve">Conjunctivitis</w:t>
      </w:r>
    </w:p>
    <w:p>
      <w:pPr>
        <w:numPr>
          <w:ilvl w:val="0"/>
          <w:numId w:val="1011"/>
        </w:numPr>
        <w:pStyle w:val="Compact"/>
      </w:pPr>
      <w:r>
        <w:t xml:space="preserve">Significant sunburn.</w:t>
      </w:r>
    </w:p>
    <w:p>
      <w:r>
        <w:pict>
          <v:rect style="width:0;height:1.5pt" o:hralign="center" o:hrstd="t" o:hr="t"/>
        </w:pict>
      </w:r>
    </w:p>
    <w:p>
      <w:pPr>
        <w:pStyle w:val="Heading1"/>
      </w:pPr>
      <w:bookmarkStart w:id="39" w:name="quality-control"/>
      <w:r>
        <w:t xml:space="preserve">4. Quality Control</w:t>
      </w:r>
      <w:bookmarkEnd w:id="39"/>
    </w:p>
    <w:p>
      <w:pPr>
        <w:pStyle w:val="FirstParagraph"/>
      </w:pPr>
      <w:r>
        <w:t xml:space="preserve">All significant procedures performed at NCC are covered by NCC’s Standard Operating Procedures (SOPs), held in the QMS and subject to continual development and improvement. This ensures that all compounds meet the highest quality standards.</w:t>
      </w:r>
    </w:p>
    <w:p>
      <w:pPr>
        <w:pStyle w:val="Heading2"/>
      </w:pPr>
      <w:bookmarkStart w:id="40" w:name="documentation"/>
      <w:r>
        <w:t xml:space="preserve">4.1 Documentation</w:t>
      </w:r>
      <w:bookmarkEnd w:id="40"/>
    </w:p>
    <w:p>
      <w:pPr>
        <w:pStyle w:val="FirstParagraph"/>
      </w:pPr>
      <w:r>
        <w:t xml:space="preserve">All Certificates of Analysis (CoAs) are electronically stored and managed through the NCC COA Registry, enabling future review and batch-level linkage of supplier documentation.</w:t>
      </w:r>
    </w:p>
    <w:p>
      <w:pPr>
        <w:pStyle w:val="BodyText"/>
      </w:pPr>
      <w:r>
        <w:t xml:space="preserve">NCC maintains both a master formula and a lot-specific compounding-history log of all compounds for all patients. Each master formula documents the name, strength and dosage form of the compounded product, all ingredients and their quantities, a beyond-use date, equipment used, mixing instructions, packaging instructions and a Quality Assurance checklist.</w:t>
      </w:r>
    </w:p>
    <w:p>
      <w:pPr>
        <w:pStyle w:val="BodyText"/>
      </w:pPr>
      <w:r>
        <w:t xml:space="preserve">NCC SOPs are reviewed on at least an annual basis, with version control maintained in the QMS.</w:t>
      </w:r>
    </w:p>
    <w:p>
      <w:pPr>
        <w:pStyle w:val="Heading2"/>
      </w:pPr>
      <w:bookmarkStart w:id="41" w:name="Xbb784063a547e329fbbaffa1a5ec1572250abc5"/>
      <w:r>
        <w:t xml:space="preserve">4.2 Active Pharmaceutical Ingredients (API) and materials</w:t>
      </w:r>
      <w:bookmarkEnd w:id="41"/>
    </w:p>
    <w:p>
      <w:pPr>
        <w:pStyle w:val="FirstParagraph"/>
      </w:pPr>
      <w:r>
        <w:t xml:space="preserve">NCC adheres to a strict process for ordering, storing and using its raw materials and components. Raw materials approved for use are entered into the computer system as batches, and a barcoded label is attached to the API packaging. The materials and label are further certified (and signed) by a pharmacist. They are then moved into the compounding lab for storage and future use.</w:t>
      </w:r>
    </w:p>
    <w:p>
      <w:pPr>
        <w:pStyle w:val="BodyText"/>
      </w:pPr>
      <w:r>
        <w:t xml:space="preserve">The NCC team performs daily monitoring and documentation of temperature and humidity of all raw-material storage areas and final-product storage areas. This data is logged electronically in the NCC Building Management System (BMS) and externally verified by NATA-accredited testing companies.</w:t>
      </w:r>
    </w:p>
    <w:p>
      <w:pPr>
        <w:pStyle w:val="Heading2"/>
      </w:pPr>
      <w:bookmarkStart w:id="42" w:name="supplier-qualification-and-api-suppliers"/>
      <w:r>
        <w:t xml:space="preserve">4.3 Supplier qualification and API suppliers</w:t>
      </w:r>
      <w:bookmarkEnd w:id="42"/>
    </w:p>
    <w:p>
      <w:pPr>
        <w:pStyle w:val="FirstParagraph"/>
      </w:pPr>
      <w:r>
        <w:t xml:space="preserve">All raw materials are sourced from qualified, verified suppliers and must come with a CoA and Safety Data Sheet (SDS/MSDS). A Certificate of Analysis confirms that the regulated product meets its specification and contains the actual results obtained from batch testing performed as part of quality control.</w:t>
      </w:r>
    </w:p>
    <w:p>
      <w:pPr>
        <w:pStyle w:val="BodyText"/>
      </w:pPr>
      <w:r>
        <w:t xml:space="preserve">NCC operates a documented</w:t>
      </w:r>
      <w:r>
        <w:t xml:space="preserve"> </w:t>
      </w:r>
      <w:r>
        <w:rPr>
          <w:b/>
        </w:rPr>
        <w:t xml:space="preserve">Supplier Qualification</w:t>
      </w:r>
      <w:r>
        <w:t xml:space="preserve"> </w:t>
      </w:r>
      <w:r>
        <w:t xml:space="preserve">process, aligned with GMP/TGA expectations (PIC/S PE 009, USP &lt;795&gt;/&lt;797&gt;/&lt;800&gt;/&lt;1163&gt;, ICH Q7/Q9), to assess and approve suppliers and to assign a risk tier to each. The assessment includes:</w:t>
      </w:r>
    </w:p>
    <w:p>
      <w:pPr>
        <w:numPr>
          <w:ilvl w:val="0"/>
          <w:numId w:val="1012"/>
        </w:numPr>
        <w:pStyle w:val="Compact"/>
      </w:pPr>
      <w:r>
        <w:t xml:space="preserve">Qualifying the supplier’s past performance by reviewing historical recalls.</w:t>
      </w:r>
    </w:p>
    <w:p>
      <w:pPr>
        <w:numPr>
          <w:ilvl w:val="0"/>
          <w:numId w:val="1012"/>
        </w:numPr>
        <w:pStyle w:val="Compact"/>
      </w:pPr>
      <w:r>
        <w:t xml:space="preserve">Obtaining copies of the supplier’s external quality reports and any current recall information.</w:t>
      </w:r>
    </w:p>
    <w:p>
      <w:pPr>
        <w:numPr>
          <w:ilvl w:val="0"/>
          <w:numId w:val="1012"/>
        </w:numPr>
        <w:pStyle w:val="Compact"/>
      </w:pPr>
      <w:r>
        <w:t xml:space="preserve">Reviewing the supplier’s applicable SOPs based on the product or service provided, where available.</w:t>
      </w:r>
    </w:p>
    <w:p>
      <w:pPr>
        <w:numPr>
          <w:ilvl w:val="0"/>
          <w:numId w:val="1012"/>
        </w:numPr>
        <w:pStyle w:val="Compact"/>
      </w:pPr>
      <w:r>
        <w:t xml:space="preserve">Reviewing the supplier’s SOPs for quality-assurance monitoring, where available.</w:t>
      </w:r>
    </w:p>
    <w:p>
      <w:pPr>
        <w:numPr>
          <w:ilvl w:val="0"/>
          <w:numId w:val="1012"/>
        </w:numPr>
        <w:pStyle w:val="Compact"/>
      </w:pPr>
      <w:r>
        <w:t xml:space="preserve">Assessing the supplier’s personnel competency by reviewing training requirements, certifications and records, where available.</w:t>
      </w:r>
    </w:p>
    <w:p>
      <w:pPr>
        <w:numPr>
          <w:ilvl w:val="0"/>
          <w:numId w:val="1012"/>
        </w:numPr>
        <w:pStyle w:val="Compact"/>
      </w:pPr>
      <w:r>
        <w:t xml:space="preserve">Determining supplier size and longevity.</w:t>
      </w:r>
    </w:p>
    <w:p>
      <w:pPr>
        <w:numPr>
          <w:ilvl w:val="0"/>
          <w:numId w:val="1012"/>
        </w:numPr>
        <w:pStyle w:val="Compact"/>
      </w:pPr>
      <w:r>
        <w:t xml:space="preserve">Determining whether the required product or service is part of the supplier’s core business.</w:t>
      </w:r>
    </w:p>
    <w:p>
      <w:pPr>
        <w:numPr>
          <w:ilvl w:val="0"/>
          <w:numId w:val="1012"/>
        </w:numPr>
        <w:pStyle w:val="Compact"/>
      </w:pPr>
      <w:r>
        <w:t xml:space="preserve">Determining whether the supplier offers warranties and guarantees for the required product or service.</w:t>
      </w:r>
    </w:p>
    <w:p>
      <w:pPr>
        <w:pStyle w:val="FirstParagraph"/>
      </w:pPr>
      <w:r>
        <w:t xml:space="preserve">Supplier qualification records and CoAs are retained in the QMS and the COA Registry.</w:t>
      </w:r>
    </w:p>
    <w:p>
      <w:r>
        <w:pict>
          <v:rect style="width:0;height:1.5pt" o:hralign="center" o:hrstd="t" o:hr="t"/>
        </w:pict>
      </w:r>
    </w:p>
    <w:p>
      <w:pPr>
        <w:pStyle w:val="Heading1"/>
      </w:pPr>
      <w:bookmarkStart w:id="43" w:name="compounding-process"/>
      <w:r>
        <w:t xml:space="preserve">5. Compounding Process</w:t>
      </w:r>
      <w:bookmarkEnd w:id="43"/>
    </w:p>
    <w:p>
      <w:pPr>
        <w:pStyle w:val="Heading2"/>
      </w:pPr>
      <w:bookmarkStart w:id="44" w:name="internal-process"/>
      <w:r>
        <w:t xml:space="preserve">5.1 Internal process</w:t>
      </w:r>
      <w:bookmarkEnd w:id="44"/>
    </w:p>
    <w:p>
      <w:pPr>
        <w:pStyle w:val="FirstParagraph"/>
      </w:pPr>
      <w:r>
        <w:t xml:space="preserve">After a compounding order is received, the order and prescription are reviewed by a pharmacist to ensure they meet prescribing requirements, that they were submitted by a reliable prescribing practitioner, and that the practitioner is qualified and appropriately equipped to order the preparation.</w:t>
      </w:r>
    </w:p>
    <w:p>
      <w:pPr>
        <w:pStyle w:val="BodyText"/>
      </w:pPr>
      <w:r>
        <w:t xml:space="preserve">The pharmacist then confirms the prescription cannot be filled using a commercially available product, and verifies there are no drug–drug or drug–disease interactions within the formula for the given patient.</w:t>
      </w:r>
    </w:p>
    <w:p>
      <w:pPr>
        <w:pStyle w:val="BodyText"/>
      </w:pPr>
      <w:r>
        <w:t xml:space="preserve">The order and prescription are then assessed against the following criteria: reason, rationale and suitability of the prescription; safety and intended use; dose appropriateness for the patient overall (including age and health conditions); quantity ordered; patient-related restrictions (allergies and chemical sensitivities); legal limitations or regulatory restrictions; and any additional clinical considerations identified by the pharmacist-on-duty.</w:t>
      </w:r>
    </w:p>
    <w:p>
      <w:pPr>
        <w:pStyle w:val="BodyText"/>
      </w:pPr>
      <w:r>
        <w:t xml:space="preserve">The order is then prepared for dispensing under pharmacist supervision. After formulation, the original prescription is checked against the dispensing and formulation records by a pharmacist.</w:t>
      </w:r>
    </w:p>
    <w:p>
      <w:pPr>
        <w:pStyle w:val="BodyText"/>
      </w:pPr>
      <w:r>
        <w:t xml:space="preserve">The prescription is then moved into a specific compounding work area to be prepared. Each compounding work area is sealed and separated from the others and from the pharmacy’s general area (see 5.4 Compounding Facility).</w:t>
      </w:r>
    </w:p>
    <w:p>
      <w:pPr>
        <w:pStyle w:val="BodyText"/>
      </w:pPr>
      <w:r>
        <w:t xml:space="preserve">The software system used to prepare the product is integrated with a barcode scanner and connected to analytical scales. All raw materials are barcoded, ensuring the correct components are used in each compound. The connected scales transmit a tare (ensuring the scale starts at 0.000) and the final weight used in the compound (to three decimal places). NCC’s integrated software provides traceability throughout the entire compounding process and enables staff to review previous and current formulations.</w:t>
      </w:r>
    </w:p>
    <w:p>
      <w:pPr>
        <w:pStyle w:val="BodyText"/>
      </w:pPr>
      <w:r>
        <w:t xml:space="preserve">Once the compound is completed, the technician checks its visual appearance against the formula expectation and takes a photo, which is stored electronically for future reference. A sample may then be collected for required preparation testing and quality control. The compound is then labelled and checked.</w:t>
      </w:r>
    </w:p>
    <w:p>
      <w:pPr>
        <w:pStyle w:val="BodyText"/>
      </w:pPr>
      <w:r>
        <w:t xml:space="preserve">When the completed compound leaves the laboratories, it moves to the final checking stage, where a pharmacist checks the actual formula results and visually inspects the product. After the compound passes this stage, it is labelled and moved into separate storage areas for collection or postage. The patient (and, where applicable, the affiliate pharmacy) is notified that the prescription is ready for collection or that postage has been arranged.</w:t>
      </w:r>
    </w:p>
    <w:p>
      <w:pPr>
        <w:pStyle w:val="Heading3"/>
      </w:pPr>
      <w:bookmarkStart w:id="45" w:name="X8a0cf6a1fc5cf2f2dbbf40af97a223e7d5283a5"/>
      <w:r>
        <w:t xml:space="preserve">Order, dispensing and the RxOne (RX-1) integration</w:t>
      </w:r>
      <w:bookmarkEnd w:id="45"/>
    </w:p>
    <w:p>
      <w:pPr>
        <w:pStyle w:val="FirstParagraph"/>
      </w:pPr>
      <w:r>
        <w:t xml:space="preserve">NCC’s ordering portal is integrated with</w:t>
      </w:r>
      <w:r>
        <w:t xml:space="preserve"> </w:t>
      </w:r>
      <w:r>
        <w:rPr>
          <w:b/>
        </w:rPr>
        <w:t xml:space="preserve">RxOne (RX-1)</w:t>
      </w:r>
      <w:r>
        <w:t xml:space="preserve">, the pharmacy dispensing system, so the details captured on a portal order flow into dispensing without manual re-typing — while every professional check is retained. This is a data-integrity improvement, not a removal of human oversight:</w:t>
      </w:r>
    </w:p>
    <w:p>
      <w:pPr>
        <w:numPr>
          <w:ilvl w:val="0"/>
          <w:numId w:val="1013"/>
        </w:numPr>
        <w:pStyle w:val="Compact"/>
      </w:pPr>
      <w:r>
        <w:t xml:space="preserve">Patient, prescriber, product, strength, quantity and directions captured on the portal order are transferred into RxOne, removing transcription errors associated with manual re-keying.</w:t>
      </w:r>
    </w:p>
    <w:p>
      <w:pPr>
        <w:numPr>
          <w:ilvl w:val="0"/>
          <w:numId w:val="1013"/>
        </w:numPr>
        <w:pStyle w:val="Compact"/>
      </w:pPr>
      <w:r>
        <w:t xml:space="preserve">Transferred scripts arrive in RxOne in a deferred state; nothing is finalised automatically.</w:t>
      </w:r>
    </w:p>
    <w:p>
      <w:pPr>
        <w:numPr>
          <w:ilvl w:val="0"/>
          <w:numId w:val="1013"/>
        </w:numPr>
        <w:pStyle w:val="Compact"/>
      </w:pPr>
      <w:r>
        <w:t xml:space="preserve">A technician checks the dispense detail against the order and prescription and prints the dispensing label.</w:t>
      </w:r>
    </w:p>
    <w:p>
      <w:pPr>
        <w:numPr>
          <w:ilvl w:val="0"/>
          <w:numId w:val="1013"/>
        </w:numPr>
        <w:pStyle w:val="Compact"/>
      </w:pPr>
      <w:r>
        <w:t xml:space="preserve">A pharmacist performs the final clinical check and authorises the supply — the legal dispensing act, which is never bypassed by the integration.</w:t>
      </w:r>
    </w:p>
    <w:p>
      <w:pPr>
        <w:numPr>
          <w:ilvl w:val="0"/>
          <w:numId w:val="1013"/>
        </w:numPr>
        <w:pStyle w:val="Compact"/>
      </w:pPr>
      <w:r>
        <w:t xml:space="preserve">The link between the portal order and the RxOne dispensing record is logged, extending the traceability chain through to the point of dispensing.</w:t>
      </w:r>
    </w:p>
    <w:p>
      <w:pPr>
        <w:pStyle w:val="Heading2"/>
      </w:pPr>
      <w:bookmarkStart w:id="46" w:name="compounding-record-review"/>
      <w:r>
        <w:t xml:space="preserve">5.2 Compounding record review</w:t>
      </w:r>
      <w:bookmarkEnd w:id="46"/>
    </w:p>
    <w:p>
      <w:pPr>
        <w:pStyle w:val="FirstParagraph"/>
      </w:pPr>
      <w:r>
        <w:t xml:space="preserve">Before a compound leaves NCC premises it undergoes the following quality-control review:</w:t>
      </w:r>
    </w:p>
    <w:p>
      <w:pPr>
        <w:numPr>
          <w:ilvl w:val="0"/>
          <w:numId w:val="1014"/>
        </w:numPr>
        <w:pStyle w:val="Compact"/>
      </w:pPr>
      <w:r>
        <w:t xml:space="preserve">The finished compounded preparation is compared against the original prescription.</w:t>
      </w:r>
    </w:p>
    <w:p>
      <w:pPr>
        <w:numPr>
          <w:ilvl w:val="0"/>
          <w:numId w:val="1014"/>
        </w:numPr>
        <w:pStyle w:val="Compact"/>
      </w:pPr>
      <w:r>
        <w:t xml:space="preserve">Correct ingredients and quantities are verified.</w:t>
      </w:r>
    </w:p>
    <w:p>
      <w:pPr>
        <w:numPr>
          <w:ilvl w:val="0"/>
          <w:numId w:val="1014"/>
        </w:numPr>
        <w:pStyle w:val="Compact"/>
      </w:pPr>
      <w:r>
        <w:t xml:space="preserve">Pharmaceutical calculations are verified.</w:t>
      </w:r>
    </w:p>
    <w:p>
      <w:pPr>
        <w:numPr>
          <w:ilvl w:val="0"/>
          <w:numId w:val="1014"/>
        </w:numPr>
        <w:pStyle w:val="Compact"/>
      </w:pPr>
      <w:r>
        <w:t xml:space="preserve">It is verified that procedures were followed.</w:t>
      </w:r>
    </w:p>
    <w:p>
      <w:pPr>
        <w:numPr>
          <w:ilvl w:val="0"/>
          <w:numId w:val="1014"/>
        </w:numPr>
        <w:pStyle w:val="Compact"/>
      </w:pPr>
      <w:r>
        <w:t xml:space="preserve">Quality-control testing results (strength and identity testing) are reviewed.</w:t>
      </w:r>
    </w:p>
    <w:p>
      <w:pPr>
        <w:numPr>
          <w:ilvl w:val="0"/>
          <w:numId w:val="1014"/>
        </w:numPr>
        <w:pStyle w:val="Compact"/>
      </w:pPr>
      <w:r>
        <w:t xml:space="preserve">It is verified that written medication information and auxiliary materials are included with the prescription, as appropriate.</w:t>
      </w:r>
    </w:p>
    <w:p>
      <w:pPr>
        <w:numPr>
          <w:ilvl w:val="0"/>
          <w:numId w:val="1014"/>
        </w:numPr>
        <w:pStyle w:val="Compact"/>
      </w:pPr>
      <w:r>
        <w:t xml:space="preserve">It is verified that preparation containers are appropriately labelled.</w:t>
      </w:r>
    </w:p>
    <w:p>
      <w:pPr>
        <w:numPr>
          <w:ilvl w:val="0"/>
          <w:numId w:val="1014"/>
        </w:numPr>
        <w:pStyle w:val="Compact"/>
      </w:pPr>
      <w:r>
        <w:t xml:space="preserve">It is ensured that the patient and/or carer has been offered counselling by a pharmacist on release of the preparation.</w:t>
      </w:r>
    </w:p>
    <w:p>
      <w:pPr>
        <w:numPr>
          <w:ilvl w:val="0"/>
          <w:numId w:val="1014"/>
        </w:numPr>
        <w:pStyle w:val="Compact"/>
      </w:pPr>
      <w:r>
        <w:t xml:space="preserve">Shipping is monitored and it is ensured the patient has received the preparation, where applicable.</w:t>
      </w:r>
    </w:p>
    <w:p>
      <w:pPr>
        <w:numPr>
          <w:ilvl w:val="0"/>
          <w:numId w:val="1014"/>
        </w:numPr>
        <w:pStyle w:val="Compact"/>
      </w:pPr>
      <w:r>
        <w:t xml:space="preserve">Associated shipping records are appended to the compounding record.</w:t>
      </w:r>
    </w:p>
    <w:p>
      <w:pPr>
        <w:numPr>
          <w:ilvl w:val="0"/>
          <w:numId w:val="1014"/>
        </w:numPr>
        <w:pStyle w:val="Compact"/>
      </w:pPr>
      <w:r>
        <w:t xml:space="preserve">All documentation is electronically captured and retained in NCC’s record systems for future reference.</w:t>
      </w:r>
    </w:p>
    <w:p>
      <w:pPr>
        <w:pStyle w:val="Heading2"/>
      </w:pPr>
      <w:bookmarkStart w:id="47" w:name="verification"/>
      <w:r>
        <w:t xml:space="preserve">5.3 Verification</w:t>
      </w:r>
      <w:bookmarkEnd w:id="47"/>
    </w:p>
    <w:p>
      <w:pPr>
        <w:pStyle w:val="FirstParagraph"/>
      </w:pPr>
      <w:r>
        <w:t xml:space="preserve">NCC pharmacists rostered each day ensure they have reviewed all prescriptions dispensed during that day, as per regulatory requirements. The pharmacist initials the prescription label affixed to the preparation container. The internal software system records each user who accesses patient and compounding information through an internal log maintained within RxOne.</w:t>
      </w:r>
    </w:p>
    <w:p>
      <w:pPr>
        <w:pStyle w:val="Heading2"/>
      </w:pPr>
      <w:bookmarkStart w:id="48" w:name="compounding-facility"/>
      <w:r>
        <w:t xml:space="preserve">5.4 Compounding facility</w:t>
      </w:r>
      <w:bookmarkEnd w:id="48"/>
    </w:p>
    <w:p>
      <w:pPr>
        <w:pStyle w:val="FirstParagraph"/>
      </w:pPr>
      <w:r>
        <w:t xml:space="preserve">NCC’s purpose-built ~300 m² facility has been specifically designed to avoid cross-contamination of all workspaces, including the NCC office, storage area, non-sterile compounding areas and sterile compounding areas. All working areas (non-sterile and sterile) have multiple mechanical and physical separations to ensure there is no transfer of APIs or materials throughout the facility. Physical separations include sealed rooms; mechanical separations include HEPA filtration, HVAC systems and isolator production units.</w:t>
      </w:r>
    </w:p>
    <w:p>
      <w:pPr>
        <w:pStyle w:val="BodyText"/>
      </w:pPr>
      <w:r>
        <w:t xml:space="preserve">Each work area has a designated function:</w:t>
      </w:r>
    </w:p>
    <w:p>
      <w:pPr>
        <w:numPr>
          <w:ilvl w:val="0"/>
          <w:numId w:val="1015"/>
        </w:numPr>
        <w:pStyle w:val="Compact"/>
      </w:pPr>
      <w:r>
        <w:rPr>
          <w:b/>
        </w:rPr>
        <w:t xml:space="preserve">NCC Office</w:t>
      </w:r>
      <w:r>
        <w:t xml:space="preserve"> </w:t>
      </w:r>
      <w:r>
        <w:t xml:space="preserve">— orders are received and processed and patients are counselled.</w:t>
      </w:r>
    </w:p>
    <w:p>
      <w:pPr>
        <w:numPr>
          <w:ilvl w:val="0"/>
          <w:numId w:val="1015"/>
        </w:numPr>
        <w:pStyle w:val="Compact"/>
      </w:pPr>
      <w:r>
        <w:rPr>
          <w:b/>
        </w:rPr>
        <w:t xml:space="preserve">NCC Labs — Non-Sterile (Class D environment):</w:t>
      </w:r>
    </w:p>
    <w:p>
      <w:pPr>
        <w:numPr>
          <w:ilvl w:val="1"/>
          <w:numId w:val="1016"/>
        </w:numPr>
        <w:pStyle w:val="Compact"/>
      </w:pPr>
      <w:r>
        <w:t xml:space="preserve">One non-sterile work area is physically separated from the general non-sterile area and used specifically for hazardous compounding (including hormones).</w:t>
      </w:r>
    </w:p>
    <w:p>
      <w:pPr>
        <w:numPr>
          <w:ilvl w:val="1"/>
          <w:numId w:val="1016"/>
        </w:numPr>
        <w:pStyle w:val="Compact"/>
      </w:pPr>
      <w:r>
        <w:t xml:space="preserve">The other non-sterile work area is classified as General Lab and is used for all other non-sterile compounding.</w:t>
      </w:r>
    </w:p>
    <w:p>
      <w:pPr>
        <w:numPr>
          <w:ilvl w:val="1"/>
          <w:numId w:val="1016"/>
        </w:numPr>
        <w:pStyle w:val="Compact"/>
      </w:pPr>
      <w:r>
        <w:t xml:space="preserve">Both areas contain ductless fume hoods providing the appropriate work area for compounding technicians.</w:t>
      </w:r>
    </w:p>
    <w:p>
      <w:pPr>
        <w:numPr>
          <w:ilvl w:val="0"/>
          <w:numId w:val="1015"/>
        </w:numPr>
        <w:pStyle w:val="Compact"/>
      </w:pPr>
      <w:r>
        <w:rPr>
          <w:b/>
        </w:rPr>
        <w:t xml:space="preserve">NCC Labs — Sterile (Class C environment):</w:t>
      </w:r>
    </w:p>
    <w:p>
      <w:pPr>
        <w:numPr>
          <w:ilvl w:val="1"/>
          <w:numId w:val="1017"/>
        </w:numPr>
        <w:pStyle w:val="Compact"/>
      </w:pPr>
      <w:r>
        <w:t xml:space="preserve">The</w:t>
      </w:r>
      <w:r>
        <w:t xml:space="preserve"> </w:t>
      </w:r>
      <w:r>
        <w:rPr>
          <w:b/>
        </w:rPr>
        <w:t xml:space="preserve">Gowning area</w:t>
      </w:r>
      <w:r>
        <w:t xml:space="preserve"> </w:t>
      </w:r>
      <w:r>
        <w:t xml:space="preserve">is the starting location, where sterile compounding technicians prepare for entry into the sterile areas.</w:t>
      </w:r>
    </w:p>
    <w:p>
      <w:pPr>
        <w:numPr>
          <w:ilvl w:val="1"/>
          <w:numId w:val="1017"/>
        </w:numPr>
        <w:pStyle w:val="Compact"/>
      </w:pPr>
      <w:r>
        <w:t xml:space="preserve">The</w:t>
      </w:r>
      <w:r>
        <w:t xml:space="preserve"> </w:t>
      </w:r>
      <w:r>
        <w:rPr>
          <w:b/>
        </w:rPr>
        <w:t xml:space="preserve">Anteroom</w:t>
      </w:r>
      <w:r>
        <w:t xml:space="preserve"> </w:t>
      </w:r>
      <w:r>
        <w:t xml:space="preserve">is the next area, where preparation activities occur inside a HEPA-filtered hood.</w:t>
      </w:r>
    </w:p>
    <w:p>
      <w:pPr>
        <w:numPr>
          <w:ilvl w:val="1"/>
          <w:numId w:val="1017"/>
        </w:numPr>
        <w:pStyle w:val="Compact"/>
      </w:pPr>
      <w:r>
        <w:t xml:space="preserve">The</w:t>
      </w:r>
      <w:r>
        <w:t xml:space="preserve"> </w:t>
      </w:r>
      <w:r>
        <w:rPr>
          <w:b/>
        </w:rPr>
        <w:t xml:space="preserve">Buffer room</w:t>
      </w:r>
      <w:r>
        <w:t xml:space="preserve"> </w:t>
      </w:r>
      <w:r>
        <w:t xml:space="preserve">is the final room, containing pharmaceutical isolators inside which sterile processing occurs.</w:t>
      </w:r>
    </w:p>
    <w:p>
      <w:pPr>
        <w:pStyle w:val="FirstParagraph"/>
      </w:pPr>
      <w:r>
        <w:t xml:space="preserve">All compounding spaces except the Sterile Buffer room contain HEPA enclosures designed to draw air away from and protect the user; the air is filtered through a HEPA filter and recirculated into the room, for the health, safety and protection of team members. HEPA filters are tested by a NATA-accredited testing service every 12 months and replaced accordingly.</w:t>
      </w:r>
    </w:p>
    <w:p>
      <w:pPr>
        <w:pStyle w:val="BodyText"/>
      </w:pPr>
      <w:r>
        <w:t xml:space="preserve">The Sterile Buffer room contains two pharmaceutical isolators that act as physical and mechanical controls to maintain a Class A environment. Within this Class A environment, all sterile compounding and processing occurs, including sterilisation methods such as filtration.</w:t>
      </w:r>
    </w:p>
    <w:p>
      <w:pPr>
        <w:pStyle w:val="BodyText"/>
      </w:pPr>
      <w:r>
        <w:t xml:space="preserve">Staff follow a strict protocol, outlined in the NCC SOPs, when entering and leaving each compounding area and when transferring materials, equipment and utensils between areas. These protocols include personal protective equipment (PPE) and clothing and personal-hygiene procedures, and are in place to protect staff and to prevent cross-contamination and maintain appropriate conditions in each work area.</w:t>
      </w:r>
    </w:p>
    <w:p>
      <w:pPr>
        <w:pStyle w:val="BodyText"/>
      </w:pPr>
      <w:r>
        <w:t xml:space="preserve">Each compounding work area, including all counters and work surfaces, is cleaned and disinfected at the beginning of each day and at the beginning and end of each preparation. Floors and doorknobs are cleaned and disinfected daily; sinks, carts, storage baskets and waste bins weekly; and ceilings, doors, walls and storage shelves bi-monthly.</w:t>
      </w:r>
    </w:p>
    <w:p>
      <w:pPr>
        <w:pStyle w:val="Heading2"/>
      </w:pPr>
      <w:bookmarkStart w:id="49" w:name="compounding-equipment"/>
      <w:r>
        <w:t xml:space="preserve">5.5 Compounding equipment</w:t>
      </w:r>
      <w:bookmarkEnd w:id="49"/>
    </w:p>
    <w:p>
      <w:pPr>
        <w:pStyle w:val="FirstParagraph"/>
      </w:pPr>
      <w:r>
        <w:t xml:space="preserve">All equipment is maintained and calibrated according to applicable Australian/New Zealand and USP standards. Equipment is checked and documented in accordance with the NCC QMS and the accreditation program, annually. HEPA filters are tested by a NATA-accredited testing service every 12 months and replaced accordingly.</w:t>
      </w:r>
    </w:p>
    <w:p>
      <w:pPr>
        <w:numPr>
          <w:ilvl w:val="0"/>
          <w:numId w:val="1018"/>
        </w:numPr>
        <w:pStyle w:val="Compact"/>
      </w:pPr>
      <w:r>
        <w:t xml:space="preserve">All electronic laboratory equipment is serviced by the CSK Group.</w:t>
      </w:r>
    </w:p>
    <w:p>
      <w:pPr>
        <w:numPr>
          <w:ilvl w:val="0"/>
          <w:numId w:val="1018"/>
        </w:numPr>
        <w:pStyle w:val="Compact"/>
      </w:pPr>
      <w:r>
        <w:t xml:space="preserve">The HVAC system is serviced and maintained every 3 months by Imperial Air Group.</w:t>
      </w:r>
    </w:p>
    <w:p>
      <w:pPr>
        <w:numPr>
          <w:ilvl w:val="0"/>
          <w:numId w:val="1018"/>
        </w:numPr>
        <w:pStyle w:val="Compact"/>
      </w:pPr>
      <w:r>
        <w:t xml:space="preserve">HEPA containment hoods are certified annually by Laftech.</w:t>
      </w:r>
    </w:p>
    <w:p>
      <w:pPr>
        <w:numPr>
          <w:ilvl w:val="0"/>
          <w:numId w:val="1018"/>
        </w:numPr>
        <w:pStyle w:val="Compact"/>
      </w:pPr>
      <w:r>
        <w:t xml:space="preserve">All technical equipment is cleaned and disinfected prior to and after use, or to a pre-determined schedule recommended by the manufacturer.</w:t>
      </w:r>
    </w:p>
    <w:p>
      <w:pPr>
        <w:pStyle w:val="Heading2"/>
      </w:pPr>
      <w:bookmarkStart w:id="50" w:name="Xc53ce92f5dab9f5a0543f00ce3968020d8f67a1"/>
      <w:r>
        <w:t xml:space="preserve">5.6 Independent third-party verification and analysis</w:t>
      </w:r>
      <w:bookmarkEnd w:id="50"/>
    </w:p>
    <w:p>
      <w:pPr>
        <w:pStyle w:val="FirstParagraph"/>
      </w:pPr>
      <w:r>
        <w:t xml:space="preserve">NCC voluntarily participates in independent laboratory testing of its compounds for potency and shelf stability under</w:t>
      </w:r>
      <w:r>
        <w:t xml:space="preserve"> </w:t>
      </w:r>
      <w:r>
        <w:t xml:space="preserve">“</w:t>
      </w:r>
      <w:r>
        <w:t xml:space="preserve">normal</w:t>
      </w:r>
      <w:r>
        <w:t xml:space="preserve">”</w:t>
      </w:r>
      <w:r>
        <w:t xml:space="preserve"> </w:t>
      </w:r>
      <w:r>
        <w:t xml:space="preserve">(room temperature) and</w:t>
      </w:r>
      <w:r>
        <w:t xml:space="preserve"> </w:t>
      </w:r>
      <w:r>
        <w:t xml:space="preserve">“</w:t>
      </w:r>
      <w:r>
        <w:t xml:space="preserve">accelerated</w:t>
      </w:r>
      <w:r>
        <w:t xml:space="preserve">”</w:t>
      </w:r>
      <w:r>
        <w:t xml:space="preserve"> </w:t>
      </w:r>
      <w:r>
        <w:t xml:space="preserve">conditions (relative humidity 70% and temperature 45 °C). These tests are undertaken at time zero, one, three and six months.</w:t>
      </w:r>
    </w:p>
    <w:p>
      <w:pPr>
        <w:pStyle w:val="BodyText"/>
      </w:pPr>
      <w:r>
        <w:t xml:space="preserve">Testing is conducted by NATA-accredited and recognised laboratories, including RTH Scientific Services, Scientest, and the Herbal Analysis Laboratory (HAL). All annual certifications of room environments and equipment are provided by NATA-accredited companies, including Laftech Australia and Opira Group.</w:t>
      </w:r>
    </w:p>
    <w:p>
      <w:r>
        <w:pict>
          <v:rect style="width:0;height:1.5pt" o:hralign="center" o:hrstd="t" o:hr="t"/>
        </w:pict>
      </w:r>
    </w:p>
    <w:p>
      <w:pPr>
        <w:pStyle w:val="Heading1"/>
      </w:pPr>
      <w:bookmarkStart w:id="51" w:name="adverse-events"/>
      <w:r>
        <w:t xml:space="preserve">6. Adverse Events</w:t>
      </w:r>
      <w:bookmarkEnd w:id="51"/>
    </w:p>
    <w:p>
      <w:pPr>
        <w:pStyle w:val="FirstParagraph"/>
      </w:pPr>
      <w:r>
        <w:t xml:space="preserve">For the purposes of this document, an adverse event includes:</w:t>
      </w:r>
    </w:p>
    <w:p>
      <w:pPr>
        <w:pStyle w:val="BodyText"/>
      </w:pPr>
      <w:r>
        <w:rPr>
          <w:b/>
        </w:rPr>
        <w:t xml:space="preserve">Adverse drug reaction:</w:t>
      </w:r>
      <w:r>
        <w:t xml:space="preserve"> </w:t>
      </w:r>
      <w:r>
        <w:t xml:space="preserve">any unexpected, unintended, undesired or excessive response to a drug that has a negative health outcome for the patient.</w:t>
      </w:r>
    </w:p>
    <w:p>
      <w:pPr>
        <w:pStyle w:val="BodyText"/>
      </w:pPr>
      <w:r>
        <w:rPr>
          <w:b/>
        </w:rPr>
        <w:t xml:space="preserve">Adverse incidents</w:t>
      </w:r>
      <w:r>
        <w:t xml:space="preserve"> </w:t>
      </w:r>
      <w:r>
        <w:t xml:space="preserve">include, but are not limited to:</w:t>
      </w:r>
    </w:p>
    <w:p>
      <w:pPr>
        <w:numPr>
          <w:ilvl w:val="0"/>
          <w:numId w:val="1019"/>
        </w:numPr>
        <w:pStyle w:val="Compact"/>
      </w:pPr>
      <w:r>
        <w:t xml:space="preserve">Medication errors: wrong dose, wrong medication, wrong route of delivery, wrong frequency of administration, omission of an ordered drug, or labelling error.</w:t>
      </w:r>
    </w:p>
    <w:p>
      <w:pPr>
        <w:numPr>
          <w:ilvl w:val="0"/>
          <w:numId w:val="1019"/>
        </w:numPr>
        <w:pStyle w:val="Compact"/>
      </w:pPr>
      <w:r>
        <w:t xml:space="preserve">Inaccurate or untimely deliveries.</w:t>
      </w:r>
    </w:p>
    <w:p>
      <w:pPr>
        <w:numPr>
          <w:ilvl w:val="0"/>
          <w:numId w:val="1019"/>
        </w:numPr>
        <w:pStyle w:val="Compact"/>
      </w:pPr>
      <w:r>
        <w:t xml:space="preserve">Equipment malfunctions.</w:t>
      </w:r>
    </w:p>
    <w:p>
      <w:pPr>
        <w:numPr>
          <w:ilvl w:val="0"/>
          <w:numId w:val="1019"/>
        </w:numPr>
        <w:pStyle w:val="Compact"/>
      </w:pPr>
      <w:r>
        <w:t xml:space="preserve">Patient complaints.</w:t>
      </w:r>
    </w:p>
    <w:p>
      <w:pPr>
        <w:numPr>
          <w:ilvl w:val="0"/>
          <w:numId w:val="1019"/>
        </w:numPr>
        <w:pStyle w:val="Compact"/>
      </w:pPr>
      <w:r>
        <w:t xml:space="preserve">Catheter infections.</w:t>
      </w:r>
    </w:p>
    <w:p>
      <w:pPr>
        <w:numPr>
          <w:ilvl w:val="0"/>
          <w:numId w:val="1019"/>
        </w:numPr>
        <w:pStyle w:val="Compact"/>
      </w:pPr>
      <w:r>
        <w:t xml:space="preserve">Patient non-compliance.</w:t>
      </w:r>
    </w:p>
    <w:p>
      <w:pPr>
        <w:numPr>
          <w:ilvl w:val="0"/>
          <w:numId w:val="1019"/>
        </w:numPr>
        <w:pStyle w:val="Compact"/>
      </w:pPr>
      <w:r>
        <w:t xml:space="preserve">Patient injuries.</w:t>
      </w:r>
    </w:p>
    <w:p>
      <w:pPr>
        <w:pStyle w:val="FirstParagraph"/>
      </w:pPr>
      <w:r>
        <w:rPr>
          <w:b/>
        </w:rPr>
        <w:t xml:space="preserve">Medication error:</w:t>
      </w:r>
      <w:r>
        <w:t xml:space="preserve"> </w:t>
      </w:r>
      <w:r>
        <w:t xml:space="preserve">any preventable event that may cause or lead to inappropriate medication use or patient harm while the medication is in the control of the health-care professional, patient or consumer. Such events may relate to professional practice, health-care products, procedures and systems — including prescribing, order communication, product labelling, packaging and nomenclature, compounding, dispensing, distribution, administration, education, monitoring and use.</w:t>
      </w:r>
    </w:p>
    <w:p>
      <w:pPr>
        <w:pStyle w:val="Heading2"/>
      </w:pPr>
      <w:bookmarkStart w:id="52" w:name="adverse-event-procedure"/>
      <w:r>
        <w:t xml:space="preserve">6.1 Adverse-event procedure</w:t>
      </w:r>
      <w:bookmarkEnd w:id="52"/>
    </w:p>
    <w:p>
      <w:pPr>
        <w:pStyle w:val="FirstParagraph"/>
      </w:pPr>
      <w:r>
        <w:t xml:space="preserve">NCC staff are trained to follow this procedure on discovering, or being made aware of, an adverse event:</w:t>
      </w:r>
    </w:p>
    <w:p>
      <w:pPr>
        <w:numPr>
          <w:ilvl w:val="0"/>
          <w:numId w:val="1020"/>
        </w:numPr>
        <w:pStyle w:val="Compact"/>
      </w:pPr>
      <w:r>
        <w:t xml:space="preserve">Ensure personnel report all suspected or actual adverse events to the Pharmacist-in-Charge immediately upon notification.</w:t>
      </w:r>
    </w:p>
    <w:p>
      <w:pPr>
        <w:numPr>
          <w:ilvl w:val="0"/>
          <w:numId w:val="1020"/>
        </w:numPr>
        <w:pStyle w:val="Compact"/>
      </w:pPr>
      <w:r>
        <w:t xml:space="preserve">Instruct the patient and/or carer to suspend taking the medication in question, if appropriate.</w:t>
      </w:r>
    </w:p>
    <w:p>
      <w:pPr>
        <w:numPr>
          <w:ilvl w:val="0"/>
          <w:numId w:val="1020"/>
        </w:numPr>
        <w:pStyle w:val="Compact"/>
      </w:pPr>
      <w:r>
        <w:t xml:space="preserve">Instruct the patient to seek appropriate medical evaluation or treatment, if appropriate.</w:t>
      </w:r>
    </w:p>
    <w:p>
      <w:pPr>
        <w:numPr>
          <w:ilvl w:val="0"/>
          <w:numId w:val="1020"/>
        </w:numPr>
        <w:pStyle w:val="Compact"/>
      </w:pPr>
      <w:r>
        <w:t xml:space="preserve">Report all suspected or actual adverse drug reactions to the prescribing health-care provider immediately.</w:t>
      </w:r>
    </w:p>
    <w:p>
      <w:pPr>
        <w:numPr>
          <w:ilvl w:val="0"/>
          <w:numId w:val="1020"/>
        </w:numPr>
        <w:pStyle w:val="Compact"/>
      </w:pPr>
      <w:r>
        <w:t xml:space="preserve">Instruct the patient to disclose the name of the medication and the adverse drug reaction to all health-care providers involved in their care.</w:t>
      </w:r>
    </w:p>
    <w:p>
      <w:pPr>
        <w:numPr>
          <w:ilvl w:val="0"/>
          <w:numId w:val="1020"/>
        </w:numPr>
        <w:pStyle w:val="Compact"/>
      </w:pPr>
      <w:r>
        <w:t xml:space="preserve">Quarantine preparations affected by the causative issue until safety is verified.</w:t>
      </w:r>
    </w:p>
    <w:p>
      <w:pPr>
        <w:numPr>
          <w:ilvl w:val="0"/>
          <w:numId w:val="1020"/>
        </w:numPr>
        <w:pStyle w:val="Compact"/>
      </w:pPr>
      <w:r>
        <w:t xml:space="preserve">Recall preparations affected by the causative issue that have been dispensed to patients, if medication-related issues are suspected.</w:t>
      </w:r>
    </w:p>
    <w:p>
      <w:pPr>
        <w:numPr>
          <w:ilvl w:val="0"/>
          <w:numId w:val="1020"/>
        </w:numPr>
        <w:pStyle w:val="Compact"/>
      </w:pPr>
      <w:r>
        <w:t xml:space="preserve">Classify medication errors using a recognised medication-error classification framework, if applicable.</w:t>
      </w:r>
    </w:p>
    <w:p>
      <w:pPr>
        <w:numPr>
          <w:ilvl w:val="0"/>
          <w:numId w:val="1020"/>
        </w:numPr>
        <w:pStyle w:val="Compact"/>
      </w:pPr>
      <w:r>
        <w:t xml:space="preserve">Review pharmacy records, the compounding record associated with the preparation, patient records and other related records for possible causative issues, as appropriate.</w:t>
      </w:r>
    </w:p>
    <w:p>
      <w:pPr>
        <w:numPr>
          <w:ilvl w:val="0"/>
          <w:numId w:val="1020"/>
        </w:numPr>
        <w:pStyle w:val="Compact"/>
      </w:pPr>
      <w:r>
        <w:t xml:space="preserve">Perform an investigation within 24 hours of a reported incident leading to hospitalisation or death, or within 72 hours for any other reported incident.</w:t>
      </w:r>
    </w:p>
    <w:p>
      <w:pPr>
        <w:numPr>
          <w:ilvl w:val="0"/>
          <w:numId w:val="1020"/>
        </w:numPr>
        <w:pStyle w:val="Compact"/>
      </w:pPr>
      <w:r>
        <w:t xml:space="preserve">Ensure the Pharmacist-in-Charge completes an incident report, and — where required — a TGA and/or Pharmacy Board incident submission, in any case of an adverse event resulting in hospitalisation, disability, life-threatening complications, congenital abnormalities or death.</w:t>
      </w:r>
    </w:p>
    <w:p>
      <w:pPr>
        <w:numPr>
          <w:ilvl w:val="0"/>
          <w:numId w:val="1020"/>
        </w:numPr>
        <w:pStyle w:val="Compact"/>
      </w:pPr>
      <w:r>
        <w:t xml:space="preserve">Report the adverse event to the relevant regulatory authority in accordance with applicable requirements (including the TGA and, where relevant, the Pharmacy Board of Australia / AHPRA).</w:t>
      </w:r>
    </w:p>
    <w:p>
      <w:pPr>
        <w:numPr>
          <w:ilvl w:val="0"/>
          <w:numId w:val="1020"/>
        </w:numPr>
        <w:pStyle w:val="Compact"/>
      </w:pPr>
      <w:r>
        <w:t xml:space="preserve">Consider voluntary reporting to relevant agencies, organisations and councils by the Sterile &amp; Pharmacist Manager or the pharmacist on duty / in charge.</w:t>
      </w:r>
    </w:p>
    <w:p>
      <w:pPr>
        <w:numPr>
          <w:ilvl w:val="0"/>
          <w:numId w:val="1020"/>
        </w:numPr>
        <w:pStyle w:val="Compact"/>
      </w:pPr>
      <w:r>
        <w:t xml:space="preserve">Document any immediate steps taken to remedy the event, and the outcome of the incident.</w:t>
      </w:r>
    </w:p>
    <w:p>
      <w:pPr>
        <w:numPr>
          <w:ilvl w:val="0"/>
          <w:numId w:val="1020"/>
        </w:numPr>
        <w:pStyle w:val="Compact"/>
      </w:pPr>
      <w:r>
        <w:t xml:space="preserve">Document the adverse event in the patient-specific file and in a dedicated file containing all historical records of adverse events.</w:t>
      </w:r>
    </w:p>
    <w:p>
      <w:pPr>
        <w:numPr>
          <w:ilvl w:val="0"/>
          <w:numId w:val="1020"/>
        </w:numPr>
        <w:pStyle w:val="Compact"/>
      </w:pPr>
      <w:r>
        <w:t xml:space="preserve">Ensure the Pharmacist-in-Charge supervises completion of the adverse-event report and associated documentation.</w:t>
      </w:r>
    </w:p>
    <w:p>
      <w:pPr>
        <w:numPr>
          <w:ilvl w:val="0"/>
          <w:numId w:val="1020"/>
        </w:numPr>
        <w:pStyle w:val="Compact"/>
      </w:pPr>
      <w:r>
        <w:t xml:space="preserve">Analyse and trend data to identify opportunities to prevent further incidents and to improve the quality of patient care.</w:t>
      </w:r>
    </w:p>
    <w:p>
      <w:r>
        <w:pict>
          <v:rect style="width:0;height:1.5pt" o:hralign="center" o:hrstd="t" o:hr="t"/>
        </w:pict>
      </w:r>
    </w:p>
    <w:p>
      <w:pPr>
        <w:pStyle w:val="FirstParagraph"/>
      </w:pPr>
      <w:r>
        <w:rPr>
          <w:i/>
        </w:rPr>
        <w:t xml:space="preserve">This Quality Assurance Plan is a controlled document of National Custom Compounding. It summarises NCC’s quality framework; the operative procedures, records and evidence are maintained in NCC’s Quality Management System (QMS). This document is reviewed annually or on a material change to standards or operations.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Custom Compounding — Quality Assurance Plan</dc:title>
  <dc:creator/>
  <cp:keywords/>
  <dcterms:created xsi:type="dcterms:W3CDTF">2026-06-24T12:01:04Z</dcterms:created>
  <dcterms:modified xsi:type="dcterms:W3CDTF">2026-06-24T12:01:04Z</dcterms:modified>
</cp:coreProperties>
</file>

<file path=docProps/custom.xml><?xml version="1.0" encoding="utf-8"?>
<Properties xmlns="http://schemas.openxmlformats.org/officeDocument/2006/custom-properties" xmlns:vt="http://schemas.openxmlformats.org/officeDocument/2006/docPropsVTypes"/>
</file>